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112.png" ContentType="image/png"/>
  <Override PartName="/word/media/rId21.png" ContentType="image/png"/>
  <Override PartName="/word/media/rId40.png" ContentType="image/png"/>
  <Override PartName="/word/media/rId76.png" ContentType="image/png"/>
  <Override PartName="/word/media/rId81.png" ContentType="image/png"/>
  <Override PartName="/word/media/rId71.png" ContentType="image/png"/>
  <Override PartName="/word/media/rId66.png" ContentType="image/png"/>
  <Override PartName="/word/media/rId87.png" ContentType="image/png"/>
  <Override PartName="/word/media/rId117.png" ContentType="image/png"/>
  <Override PartName="/word/media/rId27.png" ContentType="image/png"/>
  <Override PartName="/word/media/rId99.png" ContentType="image/png"/>
  <Override PartName="/word/media/rId45.png" ContentType="image/png"/>
  <Override PartName="/word/media/rId32.png" ContentType="image/png"/>
  <Override PartName="/word/media/rId105.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Draft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2024-10-02</w:t>
      </w:r>
    </w:p>
    <w:p>
      <w:pPr>
        <w:pStyle w:val="AbstractTitle"/>
      </w:pPr>
      <w:r>
        <w:t xml:space="preserve">Abstract</w:t>
      </w:r>
    </w:p>
    <w:p>
      <w:pPr>
        <w:pStyle w:val="Abstract"/>
      </w:pPr>
      <w:r>
        <w:t xml:space="preserve">Coastal</w:t>
      </w:r>
      <w:r>
        <w:t xml:space="preserve"> </w:t>
      </w:r>
      <w:r>
        <w:t xml:space="preserve">areas</w:t>
      </w:r>
      <w:r>
        <w:t xml:space="preserve"> </w:t>
      </w:r>
      <w:r>
        <w:t xml:space="preserve">support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habitat</w:t>
      </w:r>
      <w:r>
        <w:t xml:space="preserve"> </w:t>
      </w:r>
      <w:r>
        <w:t xml:space="preserve">fragmentation</w:t>
      </w:r>
      <w:r>
        <w:t xml:space="preserve"> </w:t>
      </w:r>
      <w:r>
        <w:t xml:space="preserve">and</w:t>
      </w:r>
      <w:r>
        <w:t xml:space="preserve"> </w:t>
      </w:r>
      <w:r>
        <w:t xml:space="preserve">seagrass</w:t>
      </w:r>
      <w:r>
        <w:t xml:space="preserve"> </w:t>
      </w:r>
      <w:r>
        <w:t xml:space="preserve">decline.</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addition</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Drone</w:t>
      </w:r>
      <w:r>
        <w:t xml:space="preserve"> </w:t>
      </w:r>
      <w:r>
        <w:t xml:space="preserve">(unmanned</w:t>
      </w:r>
      <w:r>
        <w:t xml:space="preserve"> </w:t>
      </w:r>
      <w:r>
        <w:t xml:space="preserve">aerial</w:t>
      </w:r>
      <w:r>
        <w:t xml:space="preserve"> </w:t>
      </w:r>
      <w:r>
        <w:t xml:space="preserve">vehicles</w:t>
      </w:r>
      <w:r>
        <w:t xml:space="preserve"> </w:t>
      </w:r>
      <w:r>
        <w:t xml:space="preserve">–</w:t>
      </w:r>
      <w:r>
        <w:t xml:space="preserve"> </w:t>
      </w:r>
      <w:r>
        <w:t xml:space="preserve">UAV)</w:t>
      </w:r>
      <w:r>
        <w:t xml:space="preserve"> </w:t>
      </w:r>
      <w:r>
        <w:t xml:space="preserve">images</w:t>
      </w:r>
      <w:r>
        <w:t xml:space="preserve"> </w:t>
      </w:r>
      <w:r>
        <w:t xml:space="preserve">at</w:t>
      </w:r>
      <w:r>
        <w:t xml:space="preserve"> </w:t>
      </w:r>
      <w:r>
        <w:t xml:space="preserve">a</w:t>
      </w:r>
      <w:r>
        <w:t xml:space="preserve"> </w:t>
      </w:r>
      <w:r>
        <w:t xml:space="preserve">very</w:t>
      </w:r>
      <w:r>
        <w:t xml:space="preserve"> </w:t>
      </w:r>
      <w:r>
        <w:t xml:space="preserve">high</w:t>
      </w:r>
      <w:r>
        <w:t xml:space="preserve"> </w:t>
      </w:r>
      <w:r>
        <w:t xml:space="preserve">spatial</w:t>
      </w:r>
      <w:r>
        <w:t xml:space="preserve"> </w:t>
      </w:r>
      <w:r>
        <w:t xml:space="preserve">resolution</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to</w:t>
      </w:r>
      <w:r>
        <w:t xml:space="preserve"> </w:t>
      </w:r>
      <w:r>
        <w:t xml:space="preserve">address</w:t>
      </w:r>
      <w:r>
        <w:t xml:space="preserve"> </w:t>
      </w:r>
      <w:r>
        <w:t xml:space="preserve">challenges</w:t>
      </w:r>
      <w:r>
        <w:t xml:space="preserve"> </w:t>
      </w:r>
      <w:r>
        <w:t xml:space="preserve">related</w:t>
      </w:r>
      <w:r>
        <w:t xml:space="preserve"> </w:t>
      </w:r>
      <w:r>
        <w:t xml:space="preserve">to</w:t>
      </w:r>
      <w:r>
        <w:t xml:space="preserve"> </w:t>
      </w:r>
      <w:r>
        <w:t xml:space="preserve">spatial</w:t>
      </w:r>
      <w:r>
        <w:t xml:space="preserve"> </w:t>
      </w:r>
      <w:r>
        <w:t xml:space="preserve">heterogeneity</w:t>
      </w:r>
      <w:r>
        <w:t xml:space="preserve"> </w:t>
      </w:r>
      <w:r>
        <w:t xml:space="preserve">and</w:t>
      </w:r>
      <w:r>
        <w:t xml:space="preserve"> </w:t>
      </w:r>
      <w:r>
        <w:t xml:space="preserve">intrapixel</w:t>
      </w:r>
      <w:r>
        <w:t xml:space="preserve"> </w:t>
      </w:r>
      <w:r>
        <w:t xml:space="preserve">mixture.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w:t>
      </w:r>
      <w:r>
        <w:t xml:space="preserve"> </w:t>
      </w:r>
      <w:r>
        <w:t xml:space="preserve">acquisitions</w:t>
      </w:r>
      <w:r>
        <w:t xml:space="preserve"> </w:t>
      </w:r>
      <w:r>
        <w:t xml:space="preserve">with</w:t>
      </w:r>
      <w:r>
        <w:t xml:space="preserve"> </w:t>
      </w:r>
      <w:r>
        <w:t xml:space="preserve">a</w:t>
      </w:r>
      <w:r>
        <w:t xml:space="preserve"> </w:t>
      </w:r>
      <w:r>
        <w:t xml:space="preserve">ten</w:t>
      </w:r>
      <w:r>
        <w:t xml:space="preserve"> </w:t>
      </w:r>
      <w:r>
        <w:t xml:space="preserve">spectral</w:t>
      </w:r>
      <w:r>
        <w:t xml:space="preserve"> </w:t>
      </w:r>
      <w:r>
        <w:t xml:space="preserve">band</w:t>
      </w:r>
      <w:r>
        <w:t xml:space="preserve"> </w:t>
      </w:r>
      <w:r>
        <w:t xml:space="preserve">sensor</w:t>
      </w:r>
      <w:r>
        <w:t xml:space="preserve"> </w:t>
      </w:r>
      <w:r>
        <w:t xml:space="preserve">mirroring</w:t>
      </w:r>
      <w:r>
        <w:t xml:space="preserve"> </w:t>
      </w:r>
      <w:r>
        <w:t xml:space="preserve">those</w:t>
      </w:r>
      <w:r>
        <w:t xml:space="preserve"> </w:t>
      </w:r>
      <w:r>
        <w:t xml:space="preserve">of</w:t>
      </w:r>
      <w:r>
        <w:t xml:space="preserve"> </w:t>
      </w:r>
      <w:r>
        <w:t xml:space="preserve">Sentinel-2,</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and</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Nine</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w:t>
      </w:r>
      <w:r>
        <w:t xml:space="preserve"> </w:t>
      </w:r>
      <w:r>
        <w:t xml:space="preserve">m</w:t>
      </w:r>
      <w:r>
        <w:t xml:space="preserve"> </w:t>
      </w:r>
      <w:r>
        <w:t xml:space="preserve">and</w:t>
      </w:r>
      <w:r>
        <w:t xml:space="preserve"> </w:t>
      </w:r>
      <w:r>
        <w:t xml:space="preserve">120</w:t>
      </w:r>
      <w:r>
        <w:t xml:space="preserve"> </w:t>
      </w:r>
      <w:r>
        <w:t xml:space="preserve">m)</w:t>
      </w:r>
      <w:r>
        <w:t xml:space="preserve"> </w:t>
      </w:r>
      <w:r>
        <w:t xml:space="preserve">across</w:t>
      </w:r>
      <w:r>
        <w:t xml:space="preserve"> </w:t>
      </w:r>
      <w:r>
        <w:t xml:space="preserve">heterogeneous</w:t>
      </w:r>
      <w:r>
        <w:t xml:space="preserve"> </w:t>
      </w:r>
      <w:r>
        <w:t xml:space="preserve">intertidal</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five</w:t>
      </w:r>
      <w:r>
        <w:t xml:space="preserve"> </w:t>
      </w:r>
      <w:r>
        <w:t xml:space="preserve">taxonomic</w:t>
      </w:r>
      <w:r>
        <w:t xml:space="preserve"> </w:t>
      </w:r>
      <w:r>
        <w:t xml:space="preserve">classes</w:t>
      </w:r>
      <w:r>
        <w:t xml:space="preserve"> </w:t>
      </w:r>
      <w:r>
        <w:t xml:space="preserve">of</w:t>
      </w:r>
      <w:r>
        <w:t xml:space="preserve"> </w:t>
      </w:r>
      <w:r>
        <w:t xml:space="preserve">intertidal</w:t>
      </w:r>
      <w:r>
        <w:t xml:space="preserve"> </w:t>
      </w:r>
      <w:r>
        <w:t xml:space="preserve">vegetation:</w:t>
      </w:r>
      <w:r>
        <w:t xml:space="preserve"> </w:t>
      </w:r>
      <w:r>
        <w:t xml:space="preserve">Magnoliopsida</w:t>
      </w:r>
      <w:r>
        <w:t xml:space="preserve"> </w:t>
      </w:r>
      <w:r>
        <w:t xml:space="preserve">(Seagrass),</w:t>
      </w:r>
      <w:r>
        <w:t xml:space="preserve"> </w:t>
      </w:r>
      <w:r>
        <w:t xml:space="preserve">Chlorophyceae</w:t>
      </w:r>
      <w:r>
        <w:t xml:space="preserve"> </w:t>
      </w:r>
      <w:r>
        <w:t xml:space="preserve">(Green</w:t>
      </w:r>
      <w:r>
        <w:t xml:space="preserve"> </w:t>
      </w:r>
      <w:r>
        <w:t xml:space="preserve">macroalgae),</w:t>
      </w:r>
      <w:r>
        <w:t xml:space="preserve"> </w:t>
      </w:r>
      <w:r>
        <w:t xml:space="preserve">Phaeophyceae</w:t>
      </w:r>
      <w:r>
        <w:t xml:space="preserve"> </w:t>
      </w:r>
      <w:r>
        <w:t xml:space="preserve">(Brown</w:t>
      </w:r>
      <w:r>
        <w:t xml:space="preserve"> </w:t>
      </w:r>
      <w:r>
        <w:t xml:space="preserve">algae),</w:t>
      </w:r>
      <w:r>
        <w:t xml:space="preserve"> </w:t>
      </w:r>
      <w:r>
        <w:t xml:space="preserve">Rhodophyceae</w:t>
      </w:r>
      <w:r>
        <w:t xml:space="preserve"> </w:t>
      </w:r>
      <w:r>
        <w:t xml:space="preserve">(Red</w:t>
      </w:r>
      <w:r>
        <w:t xml:space="preserve"> </w:t>
      </w:r>
      <w:r>
        <w:t xml:space="preserve">macroalgae)</w:t>
      </w:r>
      <w:r>
        <w:t xml:space="preserve"> </w:t>
      </w:r>
      <w:r>
        <w:t xml:space="preserve">and</w:t>
      </w:r>
      <w:r>
        <w:t xml:space="preserve"> </w:t>
      </w:r>
      <w:r>
        <w:t xml:space="preserve">benthic</w:t>
      </w:r>
      <w:r>
        <w:t xml:space="preserve"> </w:t>
      </w:r>
      <w:r>
        <w:t xml:space="preserve">Bacillariophyceae</w:t>
      </w:r>
      <w:r>
        <w:t xml:space="preserve"> </w:t>
      </w:r>
      <w:r>
        <w:t xml:space="preserve">(Diatoms).</w:t>
      </w:r>
      <w:r>
        <w:t xml:space="preserve"> </w:t>
      </w:r>
      <w:r>
        <w:t xml:space="preserve">Classification</w:t>
      </w:r>
      <w:r>
        <w:t xml:space="preserve"> </w:t>
      </w:r>
      <w:r>
        <w:t xml:space="preserve">of</w:t>
      </w:r>
      <w:r>
        <w:t xml:space="preserve"> </w:t>
      </w:r>
      <w:r>
        <w:t xml:space="preserve">drone</w:t>
      </w:r>
      <w:r>
        <w:t xml:space="preserve"> </w:t>
      </w:r>
      <w:r>
        <w:t xml:space="preserve">imagery</w:t>
      </w:r>
      <w:r>
        <w:t xml:space="preserve"> </w:t>
      </w:r>
      <w:r>
        <w:t xml:space="preserve">resulted</w:t>
      </w:r>
      <w:r>
        <w:t xml:space="preserve"> </w:t>
      </w:r>
      <w:r>
        <w:t xml:space="preserve">in</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r>
        <w:t xml:space="preserve"> </w:t>
      </w:r>
      <w:r>
        <w:t xml:space="preserve">Importantly,</w:t>
      </w:r>
      <w:r>
        <w:t xml:space="preserve"> </w:t>
      </w:r>
      <w:r>
        <w:t xml:space="preserve">seagrass</w:t>
      </w:r>
      <w:r>
        <w:t xml:space="preserve"> </w:t>
      </w:r>
      <w:r>
        <w:t xml:space="preserve">and</w:t>
      </w:r>
      <w:r>
        <w:t xml:space="preserve"> </w:t>
      </w:r>
      <w:r>
        <w:t xml:space="preserve">green</w:t>
      </w:r>
      <w:r>
        <w:t xml:space="preserve"> </w:t>
      </w:r>
      <w:r>
        <w:t xml:space="preserve">algae</w:t>
      </w:r>
      <w:r>
        <w:t xml:space="preserve"> </w:t>
      </w:r>
      <w:r>
        <w:t xml:space="preserve">can</w:t>
      </w:r>
      <w:r>
        <w:t xml:space="preserve"> </w:t>
      </w:r>
      <w:r>
        <w:t xml:space="preserve">be</w:t>
      </w:r>
      <w:r>
        <w:t xml:space="preserve"> </w:t>
      </w:r>
      <w:r>
        <w:t xml:space="preserve">discriminated,</w:t>
      </w:r>
      <w:r>
        <w:t xml:space="preserve"> </w:t>
      </w:r>
      <w:r>
        <w:t xml:space="preserve">although</w:t>
      </w:r>
      <w:r>
        <w:t xml:space="preserve"> </w:t>
      </w:r>
      <w:r>
        <w:t xml:space="preserve">they</w:t>
      </w:r>
      <w:r>
        <w:t xml:space="preserve"> </w:t>
      </w:r>
      <w:r>
        <w:t xml:space="preserve">share</w:t>
      </w:r>
      <w:r>
        <w:t xml:space="preserve"> </w:t>
      </w:r>
      <w:r>
        <w:t xml:space="preserve">the</w:t>
      </w:r>
      <w:r>
        <w:t xml:space="preserve"> </w:t>
      </w:r>
      <w:r>
        <w:t xml:space="preserve">same</w:t>
      </w:r>
      <w:r>
        <w:t xml:space="preserve"> </w:t>
      </w:r>
      <w:r>
        <w:t xml:space="preserve">pigment</w:t>
      </w:r>
      <w:r>
        <w:t xml:space="preserve"> </w:t>
      </w:r>
      <w:r>
        <w:t xml:space="preserve">composition.</w:t>
      </w:r>
      <w:r>
        <w:t xml:space="preserve"> </w:t>
      </w:r>
      <w:r>
        <w:t xml:space="preserve">As</w:t>
      </w:r>
      <w:r>
        <w:t xml:space="preserve"> </w:t>
      </w:r>
      <w:r>
        <w:t xml:space="preserve">the</w:t>
      </w:r>
      <w:r>
        <w:t xml:space="preserve"> </w:t>
      </w:r>
      <w:r>
        <w:t xml:space="preserve">algorithm</w:t>
      </w:r>
      <w:r>
        <w:t xml:space="preserve"> </w:t>
      </w:r>
      <w:r>
        <w:t xml:space="preserve">was</w:t>
      </w:r>
      <w:r>
        <w:t xml:space="preserve"> </w:t>
      </w:r>
      <w:r>
        <w:t xml:space="preserve">developed</w:t>
      </w:r>
      <w:r>
        <w:t xml:space="preserve"> </w:t>
      </w:r>
      <w:r>
        <w:t xml:space="preserve">for</w:t>
      </w:r>
      <w:r>
        <w:t xml:space="preserve"> </w:t>
      </w:r>
      <w:r>
        <w:t xml:space="preserve">a</w:t>
      </w:r>
      <w:r>
        <w:t xml:space="preserve"> </w:t>
      </w:r>
      <w:r>
        <w:t xml:space="preserve">multispectral</w:t>
      </w:r>
      <w:r>
        <w:t xml:space="preserve"> </w:t>
      </w:r>
      <w:r>
        <w:t xml:space="preserve">camera</w:t>
      </w:r>
      <w:r>
        <w:t xml:space="preserve"> </w:t>
      </w:r>
      <w:r>
        <w:t xml:space="preserve">with</w:t>
      </w:r>
      <w:r>
        <w:t xml:space="preserve"> </w:t>
      </w:r>
      <w:r>
        <w:t xml:space="preserve">ten</w:t>
      </w:r>
      <w:r>
        <w:t xml:space="preserve"> </w:t>
      </w:r>
      <w:r>
        <w:t xml:space="preserve">spectral</w:t>
      </w:r>
      <w:r>
        <w:t xml:space="preserve"> </w:t>
      </w:r>
      <w:r>
        <w:t xml:space="preserve">bands</w:t>
      </w:r>
      <w:r>
        <w:t xml:space="preserve"> </w:t>
      </w:r>
      <w:r>
        <w:t xml:space="preserve">in</w:t>
      </w:r>
      <w:r>
        <w:t xml:space="preserve"> </w:t>
      </w:r>
      <w:r>
        <w:t xml:space="preserve">the</w:t>
      </w:r>
      <w:r>
        <w:t xml:space="preserve"> </w:t>
      </w:r>
      <w:r>
        <w:t xml:space="preserve">visible</w:t>
      </w:r>
      <w:r>
        <w:t xml:space="preserve"> </w:t>
      </w:r>
      <w:r>
        <w:t xml:space="preserve">and</w:t>
      </w:r>
      <w:r>
        <w:t xml:space="preserve"> </w:t>
      </w:r>
      <w:r>
        <w:t xml:space="preserve">near-infrared,</w:t>
      </w:r>
      <w:r>
        <w:t xml:space="preserve"> </w:t>
      </w:r>
      <w:r>
        <w:t xml:space="preserve">it</w:t>
      </w:r>
      <w:r>
        <w:t xml:space="preserve"> </w:t>
      </w:r>
      <w:r>
        <w:t xml:space="preserve">could</w:t>
      </w:r>
      <w:r>
        <w:t xml:space="preserve"> </w:t>
      </w:r>
      <w:r>
        <w:t xml:space="preserve">be</w:t>
      </w:r>
      <w:r>
        <w:t xml:space="preserve"> </w:t>
      </w:r>
      <w:r>
        <w:t xml:space="preserve">adapted</w:t>
      </w:r>
      <w:r>
        <w:t xml:space="preserve"> </w:t>
      </w:r>
      <w:r>
        <w:t xml:space="preserve">to</w:t>
      </w:r>
      <w:r>
        <w:t xml:space="preserve"> </w:t>
      </w:r>
      <w:r>
        <w:t xml:space="preserve">the</w:t>
      </w:r>
      <w:r>
        <w:t xml:space="preserve"> </w:t>
      </w:r>
      <w:r>
        <w:t xml:space="preserve">Multi-Spectral</w:t>
      </w:r>
      <w:r>
        <w:t xml:space="preserve"> </w:t>
      </w:r>
      <w:r>
        <w:t xml:space="preserve">Instrument</w:t>
      </w:r>
      <w:r>
        <w:t xml:space="preserve"> </w:t>
      </w:r>
      <w:r>
        <w:t xml:space="preserve">(MSI)</w:t>
      </w:r>
      <w:r>
        <w:t xml:space="preserve"> </w:t>
      </w:r>
      <w:r>
        <w:t xml:space="preserve">onboard</w:t>
      </w:r>
      <w:r>
        <w:t xml:space="preserve"> </w:t>
      </w:r>
      <w:r>
        <w:t xml:space="preserve">Sentinel-2</w:t>
      </w:r>
      <w:r>
        <w:t xml:space="preserve"> </w:t>
      </w:r>
      <w:r>
        <w:t xml:space="preserve">thus</w:t>
      </w:r>
      <w:r>
        <w:t xml:space="preserve"> </w:t>
      </w:r>
      <w:r>
        <w:t xml:space="preserve">offering</w:t>
      </w:r>
      <w:r>
        <w:t xml:space="preserve"> </w:t>
      </w:r>
      <w:r>
        <w:t xml:space="preserve">promising</w:t>
      </w:r>
      <w:r>
        <w:t xml:space="preserve"> </w:t>
      </w:r>
      <w:r>
        <w:t xml:space="preserve">perspectives</w:t>
      </w:r>
      <w:r>
        <w:t xml:space="preserve"> </w:t>
      </w:r>
      <w:r>
        <w:t xml:space="preserve">for</w:t>
      </w:r>
      <w:r>
        <w:t xml:space="preserve"> </w:t>
      </w:r>
      <w:r>
        <w:t xml:space="preserve">satellite</w:t>
      </w:r>
      <w:r>
        <w:t xml:space="preserve"> </w:t>
      </w:r>
      <w:r>
        <w:t xml:space="preserve">remote</w:t>
      </w:r>
      <w:r>
        <w:t xml:space="preserve"> </w:t>
      </w:r>
      <w:r>
        <w:t xml:space="preserve">sensing</w:t>
      </w:r>
      <w:r>
        <w:t xml:space="preserve"> </w:t>
      </w:r>
      <w:r>
        <w:t xml:space="preserve">of</w:t>
      </w:r>
      <w:r>
        <w:t xml:space="preserve"> </w:t>
      </w:r>
      <w:r>
        <w:t xml:space="preserve">intertidal</w:t>
      </w:r>
      <w:r>
        <w:t xml:space="preserve"> </w:t>
      </w:r>
      <w:r>
        <w:t xml:space="preserve">biodiversity</w:t>
      </w:r>
      <w:r>
        <w:t xml:space="preserve"> </w:t>
      </w:r>
      <w:r>
        <w:t xml:space="preserve">over</w:t>
      </w:r>
      <w:r>
        <w:t xml:space="preserve"> </w:t>
      </w:r>
      <w:r>
        <w:t xml:space="preserve">lager</w:t>
      </w:r>
      <w:r>
        <w:t xml:space="preserve"> </w:t>
      </w:r>
      <w:r>
        <w:t xml:space="preserve">scales.</w:t>
      </w:r>
    </w:p>
    <w:bookmarkStart w:id="20" w:name="introduction"/>
    <w:p>
      <w:pPr>
        <w:pStyle w:val="Heading1"/>
      </w:pPr>
      <w:r>
        <w:t xml:space="preserve">1. Introduction</w:t>
      </w:r>
    </w:p>
    <w:p>
      <w:pPr>
        <w:pStyle w:val="FirstParagraph"/>
      </w:pPr>
      <w:r>
        <w:t xml:space="preserve">Coastal areas are vital hotspots for marine biodiversity, with intertidal seagrass meadows playing a crucial role at the interface between the land and oceans</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these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the near real-time and consistent retrieval of seagrass EOVs and EBVs over extensive meadows.</w:t>
      </w:r>
      <w:r>
        <w:t xml:space="preserve"> </w:t>
      </w:r>
      <w:r>
        <w:t xml:space="preserve">(Coffer et al., 2023; Traganos and Reinartz, 2018; Xu et al., 2021; Zoffoli et al., 2021)</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a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Therefore, to someone not specialized in the field, their spectral signatures may appear to be alike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However the application of this approach to satellite RS remains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 Joyce et al., 2023; Roca et al., 2022; Román et al., 2021; Sousa et al., 2019; Tallam et al., 2023)</w:t>
      </w:r>
      <w:r>
        <w:t xml:space="preserve">. However, when applied to coastal habitat mapping, most case studies were previously limited to a single flight, restricting the generalizability of their application over wider geographical scales</w:t>
      </w:r>
      <w:r>
        <w:t xml:space="preserve"> </w:t>
      </w:r>
      <w:r>
        <w:t xml:space="preserve">(Brunier et al., 2022; Collin et al., 2019; Román et al., 2021; Rossiter et al., 2020)</w:t>
      </w:r>
      <w:r>
        <w:t xml:space="preserve">. The present study aimed at analyzing the potential of multispectral drone RS to map intertidal macrophytes over a diverse biogeographical range, with a particular focus on discriminating Magnoliopsida and Chlorophyceae (Seagrass and Green Algae, respectively). Ten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a loss of prediction accuracy. In addition, the results obtained from drone-based multispectral remote sensing will be spatially degraded to satellite resolutions, and the effect of this resolution on the model’s predictions will be investigated, providing insights for coastal habitat mapping using satellites.</w:t>
      </w:r>
    </w:p>
    <w:bookmarkEnd w:id="20"/>
    <w:bookmarkStart w:id="59"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extensive intertidal seagrass beds. Two sites were located in the Gulf of Morbihan (</w:t>
      </w:r>
      <w:hyperlink w:anchor="fig-map">
        <w:r>
          <w:rPr>
            <w:rStyle w:val="Hyperlink"/>
          </w:rPr>
          <w:t xml:space="preserve">Figure 1</w:t>
        </w:r>
      </w:hyperlink>
      <w:r>
        <w:t xml:space="preserve"> </w:t>
      </w:r>
      <w:r>
        <w:t xml:space="preserve">A), France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(46.9849°N, 2.1488°W). This is a 340 km² semi-enclosed macrotidal bay, protected from waves by Noirmoutier Island. Bourgneuf bay hosts a large intertidal seagrass meadow of about 6 km²</w:t>
      </w:r>
      <w:r>
        <w:t xml:space="preserve"> </w:t>
      </w:r>
      <w:r>
        <w:t xml:space="preserve">(Zoffoli et al., 2020)</w:t>
      </w:r>
      <w:r>
        <w:t xml:space="preserve">. Within this meadow, the sites observed by drones (L’Epine and Barbatre,</w:t>
      </w:r>
      <w:r>
        <w:t xml:space="preserve"> </w:t>
      </w:r>
      <w:hyperlink w:anchor="fig-map">
        <w:r>
          <w:rPr>
            <w:rStyle w:val="Hyperlink"/>
          </w:rPr>
          <w:t xml:space="preserve">Figure 1</w:t>
        </w:r>
      </w:hyperlink>
      <w:r>
        <w:t xml:space="preserve"> </w:t>
      </w:r>
      <w:r>
        <w:t xml:space="preserve">B) contained monospecific beds of</w:t>
      </w:r>
      <w:r>
        <w:t xml:space="preserve"> </w:t>
      </w:r>
      <w:r>
        <w:rPr>
          <w:i/>
          <w:iCs/>
        </w:rPr>
        <w:t xml:space="preserve">Nanozostera noltei</w:t>
      </w:r>
      <w:r>
        <w:t xml:space="preserve"> </w:t>
      </w:r>
      <w:r>
        <w:t xml:space="preserve">(dwarf eelgrass, syn.</w:t>
      </w:r>
      <w:r>
        <w:t xml:space="preserve"> </w:t>
      </w:r>
      <w:r>
        <w:rPr>
          <w:i/>
          <w:iCs/>
        </w:rPr>
        <w:t xml:space="preserve">Zostera noltei</w:t>
      </w:r>
      <w:r>
        <w:t xml:space="preserve">) with very little mixing with other macrophytes. Bourgneuf Bay is also part of the Natura 2000 network and serves as a RAMSAR site due to its critical habitat for migratory bird species and its extensive seagrass meadows. Three sites were surveyed in the Ria de Aveiro Coastal Lagoon in Portugal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Start w:id="25" w:name="cell-fig-map"/>
    <w:tbl>
      <w:tblPr>
        <w:tblStyle w:val="Table"/>
        <w:tblW w:type="pct" w:w="5000"/>
        <w:tblLayout w:type="fixed"/>
        <w:tblLook w:firstRow="0" w:lastRow="0" w:firstColumn="0" w:lastColumn="0" w:noHBand="0" w:noVBand="0" w:val="0000"/>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 of drone flights in France and Portugal. A: Gulf of Morbihan (Two sites), B: Bourngeuf Bay (Two sites), C: Ria de Aveiro Coastal Lagoon (Three sites). Green areas represents the intertidal zone.</w:t>
            </w:r>
          </w:p>
          <w:bookmarkEnd w:id="24"/>
        </w:tc>
      </w:tr>
    </w:tbl>
    <w:bookmarkEnd w:id="25"/>
    <w:bookmarkEnd w:id="26"/>
    <w:bookmarkStart w:id="38" w:name="field-sampling"/>
    <w:p>
      <w:pPr>
        <w:pStyle w:val="Heading2"/>
      </w:pPr>
      <w:r>
        <w:t xml:space="preserve">2.2 Field sampling</w:t>
      </w:r>
    </w:p>
    <w:bookmarkStart w:id="31" w:name="drone-acquisition"/>
    <w:p>
      <w:pPr>
        <w:pStyle w:val="Heading3"/>
      </w:pPr>
      <w:r>
        <w:t xml:space="preserve">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 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t>
      </w:r>
      <w:hyperlink w:anchor="tbl-flights">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 w:name="tbl-flights"/>
          <w:p>
            <w:pPr>
              <w:jc w:val="center"/>
            </w:pPr>
            <w:pPr>
              <w:jc w:val="start"/>
              <w:spacing w:before="200"/>
              <w:pStyle w:val="ImageCaption"/>
            </w:pPr>
            <w:r>
              <w:t xml:space="preserve">Table 1: List of drone flight, summarising the date, the altitude, and the purpose of each flight. 12 m and 120 m flights have a spatial resolution of 8 and 80 mm respectively.</w:t>
            </w:r>
          </w:p>
          <w:p>
            <w:pPr>
              <w:jc w:val="center"/>
            </w:pPr>
            <w:r>
              <w:drawing>
                <wp:inline>
                  <wp:extent cx="5334000" cy="2339990"/>
                  <wp:effectExtent b="0" l="0" r="0" t="0"/>
                  <wp:docPr descr="" title="" id="28" name="Picture"/>
                  <a:graphic>
                    <a:graphicData uri="http://schemas.openxmlformats.org/drawingml/2006/picture">
                      <pic:pic>
                        <pic:nvPicPr>
                          <pic:cNvPr descr="Figures/High_res/Table1/table_flights.png" id="29" name="Picture"/>
                          <pic:cNvPicPr>
                            <a:picLocks noChangeArrowheads="1" noChangeAspect="1"/>
                          </pic:cNvPicPr>
                        </pic:nvPicPr>
                        <pic:blipFill>
                          <a:blip r:embed="rId27"/>
                          <a:stretch>
                            <a:fillRect/>
                          </a:stretch>
                        </pic:blipFill>
                        <pic:spPr bwMode="auto">
                          <a:xfrm>
                            <a:off x="0" y="0"/>
                            <a:ext cx="5334000" cy="2339990"/>
                          </a:xfrm>
                          <a:prstGeom prst="rect">
                            <a:avLst/>
                          </a:prstGeom>
                          <a:noFill/>
                          <a:ln w="9525">
                            <a:noFill/>
                            <a:headEnd/>
                            <a:tailEnd/>
                          </a:ln>
                        </pic:spPr>
                      </pic:pic>
                    </a:graphicData>
                  </a:graphic>
                </wp:inline>
              </w:drawing>
            </w:r>
          </w:p>
          <w:bookmarkEnd w:id="30"/>
        </w:tc>
      </w:tr>
    </w:tbl>
    <w:bookmarkEnd w:id="31"/>
    <w:bookmarkStart w:id="37" w:name="ground-control-points"/>
    <w:p>
      <w:pPr>
        <w:pStyle w:val="Heading3"/>
      </w:pPr>
      <w:r>
        <w:t xml:space="preserve">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 Bacillariophyceae (unicellular benthic diatoms forming biofilms at the sediment surface during low tide), Phaeophyceae (brown macroalgae), Magnoliopsida (dwarf eelgrass), Chlorophyceae (green macroalgae) and Rhodophyceae (red macroalgae) (</w:t>
      </w:r>
      <w:hyperlink w:anchor="fig-vegetation">
        <w:r>
          <w:rPr>
            <w:rStyle w:val="Hyperlink"/>
          </w:rPr>
          <w:t xml:space="preserve">Figure 2</w:t>
        </w:r>
      </w:hyperlink>
      <w:r>
        <w:t xml:space="preserve">). Only homogeneous vegetation patches extending over several meters were selected as ground control points. Pictures of each quadrat were uploaded online to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error reduction in photo interpretations.</w:t>
      </w:r>
    </w:p>
    <w:bookmarkStart w:id="36" w:name="cell-fig-vegetation"/>
    <w:tbl>
      <w:tblPr>
        <w:tblStyle w:val="Table"/>
        <w:tblW w:type="pct" w:w="5000"/>
        <w:tblLayout w:type="fixed"/>
        <w:tblLook w:firstRow="0" w:lastRow="0" w:firstColumn="0" w:lastColumn="0" w:noHBand="0" w:noVBand="0" w:val="0000"/>
      </w:tblPr>
      <w:tblGrid>
        <w:gridCol w:w="7920"/>
      </w:tblGrid>
      <w:tr>
        <w:tc>
          <w:tcPr/>
          <w:bookmarkStart w:id="35" w:name="fig-vegetation"/>
          <w:p>
            <w:pPr>
              <w:pStyle w:val="Compact"/>
              <w:jc w:val="center"/>
            </w:pPr>
            <w:r>
              <w:drawing>
                <wp:inline>
                  <wp:extent cx="5334000" cy="3824812"/>
                  <wp:effectExtent b="0" l="0" r="0" t="0"/>
                  <wp:docPr descr="" title="" id="33" name="Picture"/>
                  <a:graphic>
                    <a:graphicData uri="http://schemas.openxmlformats.org/drawingml/2006/picture">
                      <pic:pic>
                        <pic:nvPicPr>
                          <pic:cNvPr descr="Figures/Low_res/Spectral_shapes_total.png" id="34" name="Picture"/>
                          <pic:cNvPicPr>
                            <a:picLocks noChangeArrowheads="1" noChangeAspect="1"/>
                          </pic:cNvPicPr>
                        </pic:nvPicPr>
                        <pic:blipFill>
                          <a:blip r:embed="rId32"/>
                          <a:stretch>
                            <a:fillRect/>
                          </a:stretch>
                        </pic:blipFill>
                        <pic:spPr bwMode="auto">
                          <a:xfrm>
                            <a:off x="0" y="0"/>
                            <a:ext cx="5334000" cy="3824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five taxonomic classes of vegetation used to train the Neural Network model and their raw spectral signatures at the spectral resolution of the Micasense RedEdge Dual MX. A : Magnoliopsida (Nanozostera noltei syn. Zostera noltei) ; B : Phaeophyceae (Fucus sp.) ; C : Rhodophyceae (Gracilaria vermiculophylla) ; D : Chlorophyceae (Ulva sp.) ; E : Bacillariophyceae (Diatoms - MPB)</w:t>
            </w:r>
          </w:p>
          <w:bookmarkEnd w:id="35"/>
        </w:tc>
      </w:tr>
    </w:tbl>
    <w:bookmarkEnd w:id="36"/>
    <w:bookmarkEnd w:id="37"/>
    <w:bookmarkEnd w:id="38"/>
    <w:bookmarkStart w:id="39" w:name="drone-processing"/>
    <w:p>
      <w:pPr>
        <w:pStyle w:val="Heading2"/>
      </w:pPr>
      <w:r>
        <w:t xml:space="preserve">2.3 Drone Processing</w:t>
      </w:r>
    </w:p>
    <w:p>
      <w:pPr>
        <w:pStyle w:val="FirstParagraph"/>
      </w:pPr>
      <w:r>
        <w:t xml:space="preserve">A structure-from-motion photogrammetry software</w:t>
      </w:r>
      <w:r>
        <w:t xml:space="preserve"> </w:t>
      </w:r>
      <w:r>
        <w:t xml:space="preserve">(Agisoft Metashape, Agisoft, 2019)</w:t>
      </w:r>
      <w:r>
        <w:t xml:space="preserve">was used to process images to obtain multispectral orthomosaics of each flight. The process for orthomosaicking was identical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 altitude drone flights produced ortho-images with a very high spatial resolution (8 mm per pixel), making it efficient to visually distinguish between the various types of vegetation. High altitude flights on the other hand allowed to cover large areas and produced images with a pixel size of 80 mm (</w:t>
      </w:r>
      <w:hyperlink w:anchor="tbl-flights">
        <w:r>
          <w:rPr>
            <w:rStyle w:val="Hyperlink"/>
          </w:rPr>
          <w:t xml:space="preserve">Table 1</w:t>
        </w:r>
      </w:hyperlink>
      <w:r>
        <w:t xml:space="preserve">).</w:t>
      </w:r>
    </w:p>
    <w:bookmarkEnd w:id="39"/>
    <w:bookmarkStart w:id="54" w:name="general-workflow"/>
    <w:p>
      <w:pPr>
        <w:pStyle w:val="Heading2"/>
      </w:pPr>
      <w:r>
        <w:t xml:space="preserve">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w:t>
        </w:r>
      </w:hyperlink>
      <w:r>
        <w:t xml:space="preserve">).</w:t>
      </w:r>
    </w:p>
    <w:bookmarkStart w:id="44" w:name="cell-fig-workflow"/>
    <w:tbl>
      <w:tblPr>
        <w:tblStyle w:val="Table"/>
        <w:tblW w:type="pct" w:w="5000"/>
        <w:tblLayout w:type="fixed"/>
        <w:tblLook w:firstRow="0" w:lastRow="0" w:firstColumn="0" w:lastColumn="0" w:noHBand="0" w:noVBand="0" w:val="0000"/>
      </w:tblPr>
      <w:tblGrid>
        <w:gridCol w:w="7920"/>
      </w:tblGrid>
      <w:tr>
        <w:tc>
          <w:tcPr/>
          <w:bookmarkStart w:id="43" w:name="fig-workflow"/>
          <w:p>
            <w:pPr>
              <w:pStyle w:val="Compact"/>
              <w:jc w:val="center"/>
            </w:pPr>
            <w:r>
              <w:drawing>
                <wp:inline>
                  <wp:extent cx="5334000" cy="3136503"/>
                  <wp:effectExtent b="0" l="0" r="0" t="0"/>
                  <wp:docPr descr="" title="" id="41" name="Picture"/>
                  <a:graphic>
                    <a:graphicData uri="http://schemas.openxmlformats.org/drawingml/2006/picture">
                      <pic:pic>
                        <pic:nvPicPr>
                          <pic:cNvPr descr="./Figures/Low_res/Figure3_workflow.png" id="42" name="Picture"/>
                          <pic:cNvPicPr>
                            <a:picLocks noChangeArrowheads="1" noChangeAspect="1"/>
                          </pic:cNvPicPr>
                        </pic:nvPicPr>
                        <pic:blipFill>
                          <a:blip r:embed="rId40"/>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utilized for training and prediction of the Neural Network model, whereas lower-resolution flights (pixel size: 80 mm) were solely employed for prediction purposes. Validation has been performed on both high and low resolution flights.</w:t>
            </w:r>
          </w:p>
          <w:bookmarkEnd w:id="43"/>
        </w:tc>
      </w:tr>
    </w:tbl>
    <w:bookmarkEnd w:id="44"/>
    <w:bookmarkStart w:id="51" w:name="training-dataset-building"/>
    <w:p>
      <w:pPr>
        <w:pStyle w:val="Heading3"/>
      </w:pPr>
      <w:r>
        <w:t xml:space="preserve">2.4.1 Training dataset building</w:t>
      </w:r>
    </w:p>
    <w:tbl>
      <w:tblPr>
        <w:tblStyle w:val="Table"/>
        <w:tblW w:type="pct" w:w="5000"/>
        <w:tblLayout w:type="fixed"/>
        <w:tblLook w:firstRow="0" w:lastRow="0" w:firstColumn="0" w:lastColumn="0" w:noHBand="0" w:noVBand="0" w:val="0000"/>
      </w:tblPr>
      <w:tblGrid>
        <w:gridCol w:w="7920"/>
      </w:tblGrid>
      <w:tr>
        <w:tc>
          <w:tcPr/>
          <w:bookmarkStart w:id="48" w:name="tbl-validationPX"/>
          <w:p>
            <w:pPr>
              <w:jc w:val="center"/>
            </w:pPr>
            <w:pPr>
              <w:jc w:val="start"/>
              <w:spacing w:before="200"/>
              <w:pStyle w:val="ImageCaption"/>
            </w:pPr>
            <w:r>
              <w:t xml:space="preserve">Table 2: Vegetation Classes of the model and the number of pixels used to train and validate each class</w:t>
            </w:r>
          </w:p>
          <w:p>
            <w:pPr>
              <w:jc w:val="center"/>
            </w:pPr>
            <w:r>
              <w:drawing>
                <wp:inline>
                  <wp:extent cx="5334000" cy="1463499"/>
                  <wp:effectExtent b="0" l="0" r="0" t="0"/>
                  <wp:docPr descr="" title="" id="46" name="Picture"/>
                  <a:graphic>
                    <a:graphicData uri="http://schemas.openxmlformats.org/drawingml/2006/picture">
                      <pic:pic>
                        <pic:nvPicPr>
                          <pic:cNvPr descr="Figures/High_res/table_validation_px.png" id="47" name="Picture"/>
                          <pic:cNvPicPr>
                            <a:picLocks noChangeArrowheads="1" noChangeAspect="1"/>
                          </pic:cNvPicPr>
                        </pic:nvPicPr>
                        <pic:blipFill>
                          <a:blip r:embed="rId45"/>
                          <a:stretch>
                            <a:fillRect/>
                          </a:stretch>
                        </pic:blipFill>
                        <pic:spPr bwMode="auto">
                          <a:xfrm>
                            <a:off x="0" y="0"/>
                            <a:ext cx="5334000" cy="1463499"/>
                          </a:xfrm>
                          <a:prstGeom prst="rect">
                            <a:avLst/>
                          </a:prstGeom>
                          <a:noFill/>
                          <a:ln w="9525">
                            <a:noFill/>
                            <a:headEnd/>
                            <a:tailEnd/>
                          </a:ln>
                        </pic:spPr>
                      </pic:pic>
                    </a:graphicData>
                  </a:graphic>
                </wp:inline>
              </w:drawing>
            </w:r>
          </w:p>
          <w:bookmarkEnd w:id="4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Chlorophyceae, Magnoliopsida, Bacillariophyceae, Phaeophyceae and Rhodophyceae. Only low-altitude flights (</w:t>
      </w:r>
      <w:hyperlink w:anchor="tbl-flights">
        <w:r>
          <w:rPr>
            <w:rStyle w:val="Hyperlink"/>
          </w:rPr>
          <w:t xml:space="preserve">Table 1</w:t>
        </w:r>
      </w:hyperlink>
      <w:r>
        <w:t xml:space="preserve">) were used for training because their 8 mm spatial resolution allowed to avoid spectral sub-pixel mixing and to accurately identify vegetation classes. More than 418,000 pixels at 8 mm resolution from the 3 training flights were used to train the model (</w:t>
      </w:r>
      <w:hyperlink w:anchor="tbl-validationPX">
        <w:r>
          <w:rPr>
            <w:rStyle w:val="Hyperlink"/>
          </w:rPr>
          <w:t xml:space="preserve">Table 2</w:t>
        </w:r>
      </w:hyperlink>
      <w:r>
        <w:t xml:space="preserve">). Twenty one variables were used by the model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p>
      <w:pPr>
        <w:pStyle w:val="BodyText"/>
      </w:pPr>
      <w:bookmarkStart w:id="4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4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5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5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51"/>
    <w:bookmarkStart w:id="52" w:name="model-building"/>
    <w:p>
      <w:pPr>
        <w:pStyle w:val="Heading3"/>
      </w:pPr>
      <w:r>
        <w:t xml:space="preserve">2.4.2 Model building</w:t>
      </w:r>
    </w:p>
    <w:p>
      <w:pPr>
        <w:pStyle w:val="FirstParagraph"/>
      </w:pPr>
      <w:r>
        <w:t xml:space="preserve">A neural network classification model was built using the fastai workflow</w:t>
      </w:r>
      <w:r>
        <w:t xml:space="preserve"> </w:t>
      </w:r>
      <w:r>
        <w:t xml:space="preserve">(Howard et al., 2018)</w:t>
      </w:r>
      <w:r>
        <w:t xml:space="preserve">. This model is composed by 2 hidden layers and have a total of 26 054 trainable parameters. Parameters have been fine tuned using 12 epoch to minimize the error rate.</w:t>
      </w:r>
    </w:p>
    <w:bookmarkEnd w:id="52"/>
    <w:bookmarkStart w:id="53" w:name="validation"/>
    <w:p>
      <w:pPr>
        <w:pStyle w:val="Heading3"/>
      </w:pPr>
      <w:r>
        <w:t xml:space="preserve">2.4.3 Validation</w:t>
      </w:r>
    </w:p>
    <w:p>
      <w:pPr>
        <w:pStyle w:val="FirstParagraph"/>
      </w:pPr>
      <w:r>
        <w:t xml:space="preserve">The workflow of this study revolves around two distinct flight heights (12 m and 120 m,</w:t>
      </w:r>
      <w:r>
        <w:t xml:space="preserve"> </w:t>
      </w:r>
      <w:hyperlink w:anchor="fig-workflow">
        <w:r>
          <w:rPr>
            <w:rStyle w:val="Hyperlink"/>
          </w:rPr>
          <w:t xml:space="preserve">Figure 3</w:t>
        </w:r>
      </w:hyperlink>
      <w:r>
        <w:t xml:space="preserve">) where ensuring consistency between reflectances at both heights is crucial. This comparison was conducted at sites where low and high altitude flights overlapped. The low altitude flights were resampled to the same spatial resolution and grid as the high flights using a median resampling method. Reflectance values were then extracted, and a scatterplot was generated. Subsequently, the slope of the linear model and the coefficient of determination (R²) were computed.</w:t>
      </w:r>
    </w:p>
    <w:p>
      <w:pPr>
        <w:pStyle w:val="BodyText"/>
      </w:pPr>
      <w:r>
        <w:t xml:space="preserve">The model was applied to all flights at both 12 and 120 m of altitude.</w:t>
      </w:r>
      <w:r>
        <w:t xml:space="preserve"> </w:t>
      </w:r>
      <w:r>
        <w:rPr>
          <w:i/>
          <w:iCs/>
        </w:rPr>
        <w:t xml:space="preserve">In situ</w:t>
      </w:r>
      <w:r>
        <w:t xml:space="preserve"> </w:t>
      </w:r>
      <w:r>
        <w:t xml:space="preserve">information on georeferenced class type and percent cover, acquired at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and Kappa coefficient, was generated for each sites. All validation matrices were then aggregated to create an overall matrix .</w:t>
      </w:r>
    </w:p>
    <w:bookmarkEnd w:id="53"/>
    <w:bookmarkEnd w:id="54"/>
    <w:bookmarkStart w:id="55" w:name="variable-importance"/>
    <w:p>
      <w:pPr>
        <w:pStyle w:val="Heading2"/>
      </w:pPr>
      <w:r>
        <w:t xml:space="preserve">2.5 Variable Importance</w:t>
      </w:r>
    </w:p>
    <w:p>
      <w:pPr>
        <w:pStyle w:val="FirstParagraph"/>
      </w:pPr>
      <w:r>
        <w:t xml:space="preserve">Variable Importance Plots (VIP) serve as a method to identify which predictors are important for predicting a specific class. Out of the twenty one predictors utilized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55"/>
    <w:bookmarkStart w:id="57" w:name="Xccbe959c29e7dc4ae9dab7c6e8ca2f1d2e97711"/>
    <w:p>
      <w:pPr>
        <w:pStyle w:val="Heading2"/>
      </w:pPr>
      <w:r>
        <w:t xml:space="preserve">2.6 Impact of the spatial resolution in the prediction</w:t>
      </w:r>
    </w:p>
    <w:p>
      <w:pPr>
        <w:pStyle w:val="FirstParagraph"/>
      </w:pPr>
      <w:r>
        <w:t xml:space="preserve">To evaluate the impact of spatial resolution on the model’s output, we resampled the reflectance of each flight’s orthomosaic using the average method from the Terra package in R. DISCOV was then applied to these resampled rasters, and the results were compared to the original model predictions. For each resolution and vegetation class, we calculated predicted area loss, where a score of 0 indicates no area loss during resampling, and a score of 100 indicates complete loss of vegetation.</w:t>
      </w:r>
    </w:p>
    <w:p>
      <w:pPr>
        <w:pStyle w:val="BodyText"/>
      </w:pPr>
      <w:r>
        <w:t xml:space="preserve">We used a Generalized Linear Model (GLM) with a Gaussian family and identity link function to examine the relationship between pixel resolution, vegetation class, and their interaction on the response variable (the loss of vegetation area). The model formula was as follows:</w:t>
      </w:r>
    </w:p>
    <w:p>
      <w:pPr>
        <w:pStyle w:val="BodyText"/>
      </w:pPr>
      <w:bookmarkStart w:id="56" w:name="eq-gam"/>
      <m:oMathPara>
        <m:oMathParaPr>
          <m:jc m:val="center"/>
        </m:oMathParaPr>
        <m:oMath>
          <m:r>
            <m:t>V</m:t>
          </m:r>
          <m:r>
            <m:t>e</m:t>
          </m:r>
          <m:r>
            <m:t>g</m:t>
          </m:r>
          <m:r>
            <m:t>e</m:t>
          </m:r>
          <m:r>
            <m:t>t</m:t>
          </m:r>
          <m:r>
            <m:t>a</m:t>
          </m:r>
          <m:r>
            <m:t>t</m:t>
          </m:r>
          <m:r>
            <m:t>i</m:t>
          </m:r>
          <m:r>
            <m:t>o</m:t>
          </m:r>
          <m:r>
            <m:t>n</m:t>
          </m:r>
          <m:r>
            <m:t>L</m:t>
          </m:r>
          <m:r>
            <m:t>o</m:t>
          </m:r>
          <m:r>
            <m:t>s</m:t>
          </m:r>
          <m:r>
            <m:t>s</m:t>
          </m:r>
          <m:r>
            <m:rPr>
              <m:sty m:val="p"/>
            </m:rPr>
            <m:t>∼</m:t>
          </m:r>
          <m:r>
            <m:t>R</m:t>
          </m:r>
          <m:r>
            <m:t>e</m:t>
          </m:r>
          <m:r>
            <m:t>s</m:t>
          </m:r>
          <m:r>
            <m:t>o</m:t>
          </m:r>
          <m:r>
            <m:t>l</m:t>
          </m:r>
          <m:r>
            <m:t>u</m:t>
          </m:r>
          <m:r>
            <m:t>t</m:t>
          </m:r>
          <m:r>
            <m:t>i</m:t>
          </m:r>
          <m:r>
            <m:t>o</m:t>
          </m:r>
          <m:r>
            <m:t>n</m:t>
          </m:r>
          <m:r>
            <m:rPr>
              <m:sty m:val="p"/>
            </m:rPr>
            <m:t>×</m:t>
          </m:r>
          <m:r>
            <m:t>V</m:t>
          </m:r>
          <m:r>
            <m:t>e</m:t>
          </m:r>
          <m:r>
            <m:t>g</m:t>
          </m:r>
          <m:r>
            <m:t>e</m:t>
          </m:r>
          <m:r>
            <m:t>t</m:t>
          </m:r>
          <m:r>
            <m:t>a</m:t>
          </m:r>
          <m:r>
            <m:t>t</m:t>
          </m:r>
          <m:r>
            <m:t>i</m:t>
          </m:r>
          <m:r>
            <m:t>o</m:t>
          </m:r>
          <m:r>
            <m:t>n</m:t>
          </m:r>
          <m:r>
            <m:t>C</m:t>
          </m:r>
          <m:r>
            <m:t>l</m:t>
          </m:r>
          <m:r>
            <m:t>a</m:t>
          </m:r>
          <m:r>
            <m:t>s</m:t>
          </m:r>
          <m:r>
            <m:t>s</m:t>
          </m:r>
          <m:r>
            <m:t>  </m:t>
          </m:r>
          <m:d>
            <m:dPr>
              <m:begChr m:val="("/>
              <m:endChr m:val=")"/>
              <m:sepChr m:val=""/>
              <m:grow/>
            </m:dPr>
            <m:e>
              <m:r>
                <m:t>3</m:t>
              </m:r>
            </m:e>
          </m:d>
        </m:oMath>
      </m:oMathPara>
      <w:bookmarkEnd w:id="56"/>
    </w:p>
    <w:bookmarkEnd w:id="57"/>
    <w:bookmarkStart w:id="58" w:name="Xb80c26d4e7d26e390b07274c04fd63576f6b171"/>
    <w:p>
      <w:pPr>
        <w:pStyle w:val="Heading2"/>
      </w:pPr>
      <w:r>
        <w:t xml:space="preserve">2.7 Impact of mixed vegetation cover on the prediction</w:t>
      </w:r>
    </w:p>
    <w:p>
      <w:pPr>
        <w:pStyle w:val="FirstParagraph"/>
      </w:pPr>
      <w:r>
        <w:t xml:space="preserve">The key aspect of the workflow adopted in the present study is the mapping at two different altitudes (12 m and 120 m), resulting in two distinct resolutions for the same area (8 mm and 80 mm).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helps to understand the minimum vegetation cover of a given class within a pixel necessary for the model to confidently predict that class.</w:t>
      </w:r>
    </w:p>
    <w:bookmarkEnd w:id="58"/>
    <w:bookmarkEnd w:id="59"/>
    <w:bookmarkStart w:id="111" w:name="results"/>
    <w:p>
      <w:pPr>
        <w:pStyle w:val="Heading1"/>
      </w:pPr>
      <w:r>
        <w:t xml:space="preserve">3. Results</w:t>
      </w:r>
    </w:p>
    <w:bookmarkStart w:id="65" w:name="Xf1ee785dcb5d546ca07f6c913dc8f3105a0e5cf"/>
    <w:p>
      <w:pPr>
        <w:pStyle w:val="Heading2"/>
      </w:pPr>
      <w:r>
        <w:t xml:space="preserve">3.1 Reflectance comparison between the two different altitudes</w:t>
      </w:r>
    </w:p>
    <w:p>
      <w:pPr>
        <w:pStyle w:val="FirstParagraph"/>
      </w:pPr>
      <w:r>
        <w:t xml:space="preserve">In this study, drone flights were conducted at two different altitudes (12 m and 120 m) to construct the neural network model. At the sites where the flights at both altitudes overlapped, reflectance was compared. Overall there was a good agreement between the two altitudes (RMSE: 0.027 ;</w:t>
      </w:r>
      <w:r>
        <w:t xml:space="preserve"> </w:t>
      </w:r>
      <w:hyperlink w:anchor="fig-CompareRef">
        <w:r>
          <w:rPr>
            <w:rStyle w:val="Hyperlink"/>
          </w:rPr>
          <w:t xml:space="preserve">Figure 4</w:t>
        </w:r>
      </w:hyperlink>
      <w:r>
        <w:t xml:space="preserve">).</w:t>
      </w:r>
    </w:p>
    <w:bookmarkStart w:id="64" w:name="cell-fig-CompareRef"/>
    <w:tbl>
      <w:tblPr>
        <w:tblStyle w:val="Table"/>
        <w:tblW w:type="pct" w:w="5000"/>
        <w:tblLayout w:type="fixed"/>
        <w:tblLook w:firstRow="0" w:lastRow="0" w:firstColumn="0" w:lastColumn="0" w:noHBand="0" w:noVBand="0" w:val="0000"/>
      </w:tblPr>
      <w:tblGrid>
        <w:gridCol w:w="7920"/>
      </w:tblGrid>
      <w:tr>
        <w:tc>
          <w:tcPr/>
          <w:bookmarkStart w:id="63" w:name="fig-CompareRef"/>
          <w:p>
            <w:pPr>
              <w:pStyle w:val="Compact"/>
              <w:jc w:val="center"/>
            </w:pPr>
            <w:r>
              <w:drawing>
                <wp:inline>
                  <wp:extent cx="5334000" cy="2290564"/>
                  <wp:effectExtent b="0" l="0" r="0" t="0"/>
                  <wp:docPr descr="" title="" id="61" name="Picture"/>
                  <a:graphic>
                    <a:graphicData uri="http://schemas.openxmlformats.org/drawingml/2006/picture">
                      <pic:pic>
                        <pic:nvPicPr>
                          <pic:cNvPr descr="./Figures/High_res/Compare_reflectance_both.png" id="62" name="Picture"/>
                          <pic:cNvPicPr>
                            <a:picLocks noChangeArrowheads="1" noChangeAspect="1"/>
                          </pic:cNvPicPr>
                        </pic:nvPicPr>
                        <pic:blipFill>
                          <a:blip r:embed="rId60"/>
                          <a:stretch>
                            <a:fillRect/>
                          </a:stretch>
                        </pic:blipFill>
                        <pic:spPr bwMode="auto">
                          <a:xfrm>
                            <a:off x="0" y="0"/>
                            <a:ext cx="5334000" cy="2290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1</w:t>
              </w:r>
            </w:hyperlink>
            <w:r>
              <w:t xml:space="preserve">).</w:t>
            </w:r>
          </w:p>
          <w:bookmarkEnd w:id="63"/>
        </w:tc>
      </w:tr>
    </w:tbl>
    <w:bookmarkEnd w:id="64"/>
    <w:p>
      <w:pPr>
        <w:pStyle w:val="BodyText"/>
      </w:pPr>
      <w:r>
        <w:t xml:space="preserve">There was a slight underestimation for raw reflectance values in the high-altitude flight, particularly for higher reflectance values (</w:t>
      </w:r>
      <w:hyperlink w:anchor="fig-CompareRef">
        <w:r>
          <w:rPr>
            <w:rStyle w:val="Hyperlink"/>
          </w:rPr>
          <w:t xml:space="preserve">Figure 4</w:t>
        </w:r>
      </w:hyperlink>
      <w:r>
        <w:t xml:space="preserve"> </w:t>
      </w:r>
      <w:r>
        <w:t xml:space="preserve">A). Since both flights were conducted over vegetation areas, the highest reflectance values correspond to the infrared part of the spectrum. This difference was not present when reflectance values have been standardized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4</w:t>
        </w:r>
      </w:hyperlink>
      <w:r>
        <w:t xml:space="preserve"> </w:t>
      </w:r>
      <w:r>
        <w:t xml:space="preserve">B).</w:t>
      </w:r>
    </w:p>
    <w:bookmarkEnd w:id="65"/>
    <w:bookmarkStart w:id="86" w:name="classification"/>
    <w:p>
      <w:pPr>
        <w:pStyle w:val="Heading2"/>
      </w:pPr>
      <w:r>
        <w:t xml:space="preserve">3.2 Classification</w:t>
      </w:r>
    </w:p>
    <w:p>
      <w:pPr>
        <w:pStyle w:val="FirstParagraph"/>
      </w:pPr>
      <w:r>
        <w:t xml:space="preserve">Each drone flight was used to produce a prediction map, as well as a probability map that indicate the model derived likelihood of the selected class for every pixel. The low-altitude flight conducted in Gafanha, Portugal, represented the site with the highest complexity (</w:t>
      </w:r>
      <w:hyperlink w:anchor="fig-GafLow">
        <w:r>
          <w:rPr>
            <w:rStyle w:val="Hyperlink"/>
          </w:rPr>
          <w:t xml:space="preserve">Figure 5</w:t>
        </w:r>
      </w:hyperlink>
      <w:r>
        <w:t xml:space="preserve">). Among the five vegetation classes on which the model was trained, four were present on this site, with green an red macroalgae mixed with a seagrass meadow. There was also diatoms forming biofilms on bare sediment surface. Although the seagrass was solely composed of a single specie,</w:t>
      </w:r>
      <w:r>
        <w:t xml:space="preserve"> </w:t>
      </w:r>
      <w:r>
        <w:rPr>
          <w:i/>
          <w:iCs/>
        </w:rPr>
        <w:t xml:space="preserve">Nanozostera noltei</w:t>
      </w:r>
      <w:r>
        <w:t xml:space="preserve">, various colors of this specie could be observed from dark green (corresponding to healthy leaves) to brown (when leaves are senescent or have an altered pigment composition). Regardless of the variation of color, the class Magnoliopsida was accurately predicted by the model (F1 score of 0.96 at that site).</w:t>
      </w:r>
    </w:p>
    <w:bookmarkStart w:id="70" w:name="cell-fig-GafLow"/>
    <w:tbl>
      <w:tblPr>
        <w:tblStyle w:val="Table"/>
        <w:tblW w:type="pct" w:w="5000"/>
        <w:tblLayout w:type="fixed"/>
        <w:tblLook w:firstRow="0" w:lastRow="0" w:firstColumn="0" w:lastColumn="0" w:noHBand="0" w:noVBand="0" w:val="0000"/>
      </w:tblPr>
      <w:tblGrid>
        <w:gridCol w:w="7920"/>
      </w:tblGrid>
      <w:tr>
        <w:tc>
          <w:tcPr/>
          <w:bookmarkStart w:id="69" w:name="fig-GafLow"/>
          <w:p>
            <w:pPr>
              <w:pStyle w:val="Compact"/>
              <w:jc w:val="center"/>
            </w:pPr>
            <w:r>
              <w:drawing>
                <wp:inline>
                  <wp:extent cx="5334000" cy="2803823"/>
                  <wp:effectExtent b="0" l="0" r="0" t="0"/>
                  <wp:docPr descr="" title="" id="67" name="Picture"/>
                  <a:graphic>
                    <a:graphicData uri="http://schemas.openxmlformats.org/drawingml/2006/picture">
                      <pic:pic>
                        <pic:nvPicPr>
                          <pic:cNvPr descr="./Figures/Low_res/Maps%20Pred/FigX-Gaf_Low_Pred.png" id="68" name="Picture"/>
                          <pic:cNvPicPr>
                            <a:picLocks noChangeArrowheads="1" noChangeAspect="1"/>
                          </pic:cNvPicPr>
                        </pic:nvPicPr>
                        <pic:blipFill>
                          <a:blip r:embed="rId66"/>
                          <a:stretch>
                            <a:fillRect/>
                          </a:stretch>
                        </pic:blipFill>
                        <pic:spPr bwMode="auto">
                          <a:xfrm>
                            <a:off x="0" y="0"/>
                            <a:ext cx="5334000" cy="28038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low altitude flight of Gafanha, Portugal. The total extent of this flight was 3000 m² with a resolution of 8 mm per pixel. Background colors indicate intertidal area (Light Green) and land area (Light Grey). The zoom covers an area equivalent to a 10-meter Sentinel-2 pixel size.</w:t>
            </w:r>
          </w:p>
          <w:bookmarkEnd w:id="69"/>
        </w:tc>
      </w:tr>
    </w:tbl>
    <w:bookmarkEnd w:id="70"/>
    <w:p>
      <w:pPr>
        <w:pStyle w:val="BodyText"/>
      </w:pPr>
      <w:r>
        <w:t xml:space="preserve">The high-altitude flight over Gafanha covered a total area of ~1 km² (</w:t>
      </w:r>
      <w:hyperlink w:anchor="fig-GafHigh">
        <w:r>
          <w:rPr>
            <w:rStyle w:val="Hyperlink"/>
          </w:rPr>
          <w:t xml:space="preserve">Figure 6</w:t>
        </w:r>
      </w:hyperlink>
      <w:r>
        <w:t xml:space="preserve">). A channel contouring a small island was masked in the prediction map. Most of vegetation area was classified as seagrass by the model, including patches with discolored leaves. Only a few pixels were classified as green algae (F1 score of 0.55). Patches of Rhodophyceae were correctly classified (F1 score of 0.85). In the northern part of the site and near the land eadges,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bookmarkStart w:id="75" w:name="cell-fig-GafHigh"/>
    <w:tbl>
      <w:tblPr>
        <w:tblStyle w:val="Table"/>
        <w:tblW w:type="pct" w:w="5000"/>
        <w:tblLayout w:type="fixed"/>
        <w:tblLook w:firstRow="0" w:lastRow="0" w:firstColumn="0" w:lastColumn="0" w:noHBand="0" w:noVBand="0" w:val="0000"/>
      </w:tblPr>
      <w:tblGrid>
        <w:gridCol w:w="7920"/>
      </w:tblGrid>
      <w:tr>
        <w:tc>
          <w:tcPr/>
          <w:bookmarkStart w:id="74" w:name="fig-GafHigh"/>
          <w:p>
            <w:pPr>
              <w:pStyle w:val="Compact"/>
              <w:jc w:val="center"/>
            </w:pPr>
            <w:r>
              <w:drawing>
                <wp:inline>
                  <wp:extent cx="5334000" cy="4532569"/>
                  <wp:effectExtent b="0" l="0" r="0" t="0"/>
                  <wp:docPr descr="" title="" id="72" name="Picture"/>
                  <a:graphic>
                    <a:graphicData uri="http://schemas.openxmlformats.org/drawingml/2006/picture">
                      <pic:pic>
                        <pic:nvPicPr>
                          <pic:cNvPr descr="./Figures/Low_res/Maps%20Pred/FigX-Gaf_High_Pred1.png" id="73" name="Picture"/>
                          <pic:cNvPicPr>
                            <a:picLocks noChangeArrowheads="1" noChangeAspect="1"/>
                          </pic:cNvPicPr>
                        </pic:nvPicPr>
                        <pic:blipFill>
                          <a:blip r:embed="rId71"/>
                          <a:stretch>
                            <a:fillRect/>
                          </a:stretch>
                        </pic:blipFill>
                        <pic:spPr bwMode="auto">
                          <a:xfrm>
                            <a:off x="0" y="0"/>
                            <a:ext cx="5334000" cy="45325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(Left) and Prediction (Right) of the high altitude flight of Gafanha, Portugal. The total extent of this flight was about 1 km² with a resolution of 80 mm per pixel. Background colors indicate intertidal area (Light Green), land area (Light Grey) and water (Light Blue). The yellow outline shows the extent of the low altitude flight of Gafanha presented in</w:t>
            </w:r>
            <w:r>
              <w:t xml:space="preserve"> </w:t>
            </w:r>
            <w:hyperlink w:anchor="fig-GafLow">
              <w:r>
                <w:rPr>
                  <w:rStyle w:val="Hyperlink"/>
                </w:rPr>
                <w:t xml:space="preserve">Figure 5</w:t>
              </w:r>
            </w:hyperlink>
            <w:r>
              <w:t xml:space="preserve">. The zoom covers an area equivalent to a 10-meter Sentinel-2 pixel size.</w:t>
            </w:r>
          </w:p>
          <w:bookmarkEnd w:id="74"/>
        </w:tc>
      </w:tr>
    </w:tbl>
    <w:bookmarkEnd w:id="75"/>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7</w:t>
        </w:r>
      </w:hyperlink>
      <w:r>
        <w:t xml:space="preserve">). This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bookmarkStart w:id="80" w:name="cell-fig-Boat"/>
    <w:tbl>
      <w:tblPr>
        <w:tblStyle w:val="Table"/>
        <w:tblW w:type="pct" w:w="5000"/>
        <w:tblLayout w:type="fixed"/>
        <w:tblLook w:firstRow="0" w:lastRow="0" w:firstColumn="0" w:lastColumn="0" w:noHBand="0" w:noVBand="0" w:val="0000"/>
      </w:tblPr>
      <w:tblGrid>
        <w:gridCol w:w="7920"/>
      </w:tblGrid>
      <w:tr>
        <w:tc>
          <w:tcPr/>
          <w:bookmarkStart w:id="79" w:name="fig-Boat"/>
          <w:p>
            <w:pPr>
              <w:pStyle w:val="Compact"/>
              <w:jc w:val="center"/>
            </w:pPr>
            <w:r>
              <w:drawing>
                <wp:inline>
                  <wp:extent cx="2587232" cy="3425177"/>
                  <wp:effectExtent b="0" l="0" r="0" t="0"/>
                  <wp:docPr descr="" title="" id="77" name="Picture"/>
                  <a:graphic>
                    <a:graphicData uri="http://schemas.openxmlformats.org/drawingml/2006/picture">
                      <pic:pic>
                        <pic:nvPicPr>
                          <pic:cNvPr descr="./Figures/Low_res/Maps%20Pred/FigX-Boat_Pred.png" id="78" name="Picture"/>
                          <pic:cNvPicPr>
                            <a:picLocks noChangeArrowheads="1" noChangeAspect="1"/>
                          </pic:cNvPicPr>
                        </pic:nvPicPr>
                        <pic:blipFill>
                          <a:blip r:embed="rId76"/>
                          <a:stretch>
                            <a:fillRect/>
                          </a:stretch>
                        </pic:blipFill>
                        <pic:spPr bwMode="auto">
                          <a:xfrm>
                            <a:off x="0" y="0"/>
                            <a:ext cx="2587232"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the flight made in the inner part of Ria de Aveiro Lagoon, Portugal. The total extent of this flight was about 1.5 km² with a resolution of 80 mm per pixel. Background colors indicate intertidal area (Light Green), land area (Light Grey) and water (Light Blue). Each cover an area equivalent to a 10 m Sentinel-2 pixel size.</w:t>
            </w:r>
          </w:p>
          <w:bookmarkEnd w:id="79"/>
        </w:tc>
      </w:tr>
    </w:tbl>
    <w:bookmarkEnd w:id="80"/>
    <w:p>
      <w:pPr>
        <w:pStyle w:val="BodyText"/>
      </w:pPr>
      <w:r>
        <w:t xml:space="preserve">The flight over L’Epine in Noirmoutier Island, France (</w:t>
      </w:r>
      <w:hyperlink w:anchor="fig-Dike">
        <w:r>
          <w:rPr>
            <w:rStyle w:val="Hyperlink"/>
          </w:rPr>
          <w:t xml:space="preserve">Figure 8</w:t>
        </w:r>
      </w:hyperlink>
      <w:r>
        <w:t xml:space="preserve"> </w:t>
      </w:r>
      <w:r>
        <w:t xml:space="preserve">A)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and this was correctly reproduced by the prediction (</w:t>
      </w:r>
      <w:hyperlink w:anchor="fig-Dike">
        <w:r>
          <w:rPr>
            <w:rStyle w:val="Hyperlink"/>
          </w:rPr>
          <w:t xml:space="preserve">Figure 8</w:t>
        </w:r>
      </w:hyperlink>
      <w:r>
        <w:t xml:space="preserve"> </w:t>
      </w:r>
      <w:r>
        <w:t xml:space="preserve">B). This site was characterized by a high mixture between green macroalgae and seagrass but these two classes were correctly discriminated by the classifier (F1 score of 0.97 and 0.98 respectively).</w:t>
      </w:r>
    </w:p>
    <w:bookmarkStart w:id="85" w:name="cell-fig-Dike"/>
    <w:tbl>
      <w:tblPr>
        <w:tblStyle w:val="Table"/>
        <w:tblW w:type="pct" w:w="5000"/>
        <w:tblLayout w:type="fixed"/>
        <w:tblLook w:firstRow="0" w:lastRow="0" w:firstColumn="0" w:lastColumn="0" w:noHBand="0" w:noVBand="0" w:val="0000"/>
      </w:tblPr>
      <w:tblGrid>
        <w:gridCol w:w="7920"/>
      </w:tblGrid>
      <w:tr>
        <w:tc>
          <w:tcPr/>
          <w:bookmarkStart w:id="84" w:name="fig-Dike"/>
          <w:p>
            <w:pPr>
              <w:pStyle w:val="Compact"/>
              <w:jc w:val="center"/>
            </w:pPr>
            <w:r>
              <w:drawing>
                <wp:inline>
                  <wp:extent cx="5334000" cy="4000500"/>
                  <wp:effectExtent b="0" l="0" r="0" t="0"/>
                  <wp:docPr descr="" title="" id="82" name="Picture"/>
                  <a:graphic>
                    <a:graphicData uri="http://schemas.openxmlformats.org/drawingml/2006/picture">
                      <pic:pic>
                        <pic:nvPicPr>
                          <pic:cNvPr descr="./Figures/Low_res/Maps%20Pred/FigX-Dike_Pred.png" id="83" name="Picture"/>
                          <pic:cNvPicPr>
                            <a:picLocks noChangeArrowheads="1" noChangeAspect="1"/>
                          </pic:cNvPicPr>
                        </pic:nvPicPr>
                        <pic:blipFill>
                          <a:blip r:embed="rId8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RGB orthomosaic (Top) and Prediction (Bottom) of L’Epine, France. The total extent of this flight was about 28 000 m² with a resolution of 80 mm per pixel. Background colors indicate intertidal area (Light Green) and land area (Light Grey). The zoom covers an area equivalent to a 10-meter Sentinel-2 pixel size.</w:t>
            </w:r>
          </w:p>
          <w:bookmarkEnd w:id="84"/>
        </w:tc>
      </w:tr>
    </w:tbl>
    <w:bookmarkEnd w:id="85"/>
    <w:bookmarkEnd w:id="86"/>
    <w:bookmarkStart w:id="92" w:name="validation-of-the-model"/>
    <w:p>
      <w:pPr>
        <w:pStyle w:val="Heading2"/>
      </w:pPr>
      <w:r>
        <w:t xml:space="preserve">3.3 Validation of the model</w:t>
      </w:r>
    </w:p>
    <w:p>
      <w:pPr>
        <w:pStyle w:val="FirstParagraph"/>
      </w:pPr>
      <w:r>
        <w:t xml:space="preserve">With all drone flights combined, the model global accuracy was 94.26% with a Kappa coefficient of 0.92 (</w:t>
      </w:r>
      <w:hyperlink w:anchor="fig-Validation">
        <w:r>
          <w:rPr>
            <w:rStyle w:val="Hyperlink"/>
          </w:rPr>
          <w:t xml:space="preserve">Figure 9</w:t>
        </w:r>
      </w:hyperlink>
      <w:r>
        <w:t xml:space="preserve">).</w:t>
      </w:r>
    </w:p>
    <w:bookmarkStart w:id="91" w:name="cell-fig-Validation"/>
    <w:tbl>
      <w:tblPr>
        <w:tblStyle w:val="Table"/>
        <w:tblW w:type="pct" w:w="5000"/>
        <w:tblLayout w:type="fixed"/>
        <w:tblLook w:firstRow="0" w:lastRow="0" w:firstColumn="0" w:lastColumn="0" w:noHBand="0" w:noVBand="0" w:val="0000"/>
      </w:tblPr>
      <w:tblGrid>
        <w:gridCol w:w="7920"/>
      </w:tblGrid>
      <w:tr>
        <w:tc>
          <w:tcPr/>
          <w:bookmarkStart w:id="90" w:name="fig-Validation"/>
          <w:p>
            <w:pPr>
              <w:pStyle w:val="Compact"/>
              <w:jc w:val="center"/>
            </w:pPr>
            <w:r>
              <w:drawing>
                <wp:inline>
                  <wp:extent cx="4339577" cy="3003146"/>
                  <wp:effectExtent b="0" l="0" r="0" t="0"/>
                  <wp:docPr descr="" title="" id="88" name="Picture"/>
                  <a:graphic>
                    <a:graphicData uri="http://schemas.openxmlformats.org/drawingml/2006/picture">
                      <pic:pic>
                        <pic:nvPicPr>
                          <pic:cNvPr descr="./Figures/Low_res/Validation/ConfusionMatrixGlobal.png" id="89" name="Picture"/>
                          <pic:cNvPicPr>
                            <a:picLocks noChangeArrowheads="1" noChangeAspect="1"/>
                          </pic:cNvPicPr>
                        </pic:nvPicPr>
                        <pic:blipFill>
                          <a:blip r:embed="rId87"/>
                          <a:stretch>
                            <a:fillRect/>
                          </a:stretch>
                        </pic:blipFill>
                        <pic:spPr bwMode="auto">
                          <a:xfrm>
                            <a:off x="0" y="0"/>
                            <a:ext cx="4339577" cy="30031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90"/>
        </w:tc>
      </w:tr>
    </w:tbl>
    <w:bookmarkEnd w:id="91"/>
    <w:p>
      <w:pPr>
        <w:pStyle w:val="BodyText"/>
      </w:pPr>
      <w:r>
        <w:t xml:space="preserve">The lowest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 mainly due to confusion with Magnoliopsida and Sediment.</w:t>
      </w:r>
    </w:p>
    <w:bookmarkEnd w:id="92"/>
    <w:bookmarkStart w:id="98" w:name="variable-importance-1"/>
    <w:p>
      <w:pPr>
        <w:pStyle w:val="Heading2"/>
      </w:pPr>
      <w:r>
        <w:t xml:space="preserve">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10</w:t>
        </w:r>
      </w:hyperlink>
      <w:r>
        <w:t xml:space="preserve">).</w:t>
      </w:r>
    </w:p>
    <w:bookmarkStart w:id="97" w:name="cell-fig-VIP"/>
    <w:tbl>
      <w:tblPr>
        <w:tblStyle w:val="Table"/>
        <w:tblW w:type="pct" w:w="5000"/>
        <w:tblLayout w:type="fixed"/>
        <w:tblLook w:firstRow="0" w:lastRow="0" w:firstColumn="0" w:lastColumn="0" w:noHBand="0" w:noVBand="0" w:val="0000"/>
      </w:tblPr>
      <w:tblGrid>
        <w:gridCol w:w="7920"/>
      </w:tblGrid>
      <w:tr>
        <w:tc>
          <w:tcPr/>
          <w:bookmarkStart w:id="96" w:name="fig-VIP"/>
          <w:p>
            <w:pPr>
              <w:pStyle w:val="Compact"/>
              <w:jc w:val="center"/>
            </w:pPr>
            <w:r>
              <w:drawing>
                <wp:inline>
                  <wp:extent cx="4721851" cy="3452701"/>
                  <wp:effectExtent b="0" l="0" r="0" t="0"/>
                  <wp:docPr descr="" title="" id="94" name="Picture"/>
                  <a:graphic>
                    <a:graphicData uri="http://schemas.openxmlformats.org/drawingml/2006/picture">
                      <pic:pic>
                        <pic:nvPicPr>
                          <pic:cNvPr descr="Figures/Low_res/VIP/Fig_VIP.png" id="95" name="Picture"/>
                          <pic:cNvPicPr>
                            <a:picLocks noChangeArrowheads="1" noChangeAspect="1"/>
                          </pic:cNvPicPr>
                        </pic:nvPicPr>
                        <pic:blipFill>
                          <a:blip r:embed="rId93"/>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96"/>
        </w:tc>
      </w:tr>
    </w:tbl>
    <w:bookmarkEnd w:id="97"/>
    <w:p>
      <w:pPr>
        <w:pStyle w:val="BodyText"/>
      </w:pPr>
      <w:r>
        <w:t xml:space="preserve">The spectral bands at 444, 717 and 842 nm of the Micasense camera did not provide as important information to discriminate any of the vegetation classes. The band at 531 nm was the only important predictor for the classifier to accurately predict Chlorophyceae. In fact, at this wavelength, the Chlorophyceae spectra showed the highest reflectance among all vegetation classes.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98"/>
    <w:bookmarkStart w:id="104" w:name="Xcf81fd88fca8b2950efc6312df8973a274d7c61"/>
    <w:p>
      <w:pPr>
        <w:pStyle w:val="Heading2"/>
      </w:pPr>
      <w:r>
        <w:t xml:space="preserve">3.5 Effect of the spatial resolution on the prediction</w:t>
      </w:r>
    </w:p>
    <w:p>
      <w:pPr>
        <w:pStyle w:val="FirstParagraph"/>
      </w:pPr>
      <w:hyperlink w:anchor="fig-pixelsize">
        <w:r>
          <w:rPr>
            <w:rStyle w:val="Hyperlink"/>
          </w:rPr>
          <w:t xml:space="preserve">Figure 11</w:t>
        </w:r>
      </w:hyperlink>
      <w:r>
        <w:t xml:space="preserve"> </w:t>
      </w:r>
      <w:r>
        <w:t xml:space="preserve">illustrates the relationship between predicted area loss for various vegetation types and map resolution. At a fine resolution of 1m, changes in the retrieved area for each vegetation type are minimal. Green algae shows the highest loss rate, with 1.2% area lost compared to the raw resolution (8cm). As the resolution coarsens to 10m, area loss becomes significant, with green algae again experiencing the greatest reduction (12% compared to 8cm) and seagrass showing the smallest loss (1.3%). At a resolution of 30m, all green algae have been lost (100% compared to 8cm), while seagrass experiences a relatively small reduction of 11%. Brown algae and red algae show moderate declines, with losses at 30m resolution reaching approximately 37% and 59%, respectively.</w:t>
      </w:r>
    </w:p>
    <w:bookmarkStart w:id="103" w:name="cell-fig-pixelsize"/>
    <w:tbl>
      <w:tblPr>
        <w:tblStyle w:val="Table"/>
        <w:tblW w:type="pct" w:w="5000"/>
        <w:tblLayout w:type="fixed"/>
        <w:tblLook w:firstRow="0" w:lastRow="0" w:firstColumn="0" w:lastColumn="0" w:noHBand="0" w:noVBand="0" w:val="0000"/>
      </w:tblPr>
      <w:tblGrid>
        <w:gridCol w:w="7920"/>
      </w:tblGrid>
      <w:tr>
        <w:tc>
          <w:tcPr/>
          <w:bookmarkStart w:id="102" w:name="fig-pixelsize"/>
          <w:p>
            <w:pPr>
              <w:pStyle w:val="Compact"/>
              <w:jc w:val="center"/>
            </w:pPr>
            <w:r>
              <w:drawing>
                <wp:inline>
                  <wp:extent cx="4800600" cy="3255812"/>
                  <wp:effectExtent b="0" l="0" r="0" t="0"/>
                  <wp:docPr descr="" title="" id="100" name="Picture"/>
                  <a:graphic>
                    <a:graphicData uri="http://schemas.openxmlformats.org/drawingml/2006/picture">
                      <pic:pic>
                        <pic:nvPicPr>
                          <pic:cNvPr descr="Figures/High_res/resolution_plot.png" id="101" name="Picture"/>
                          <pic:cNvPicPr>
                            <a:picLocks noChangeArrowheads="1" noChangeAspect="1"/>
                          </pic:cNvPicPr>
                        </pic:nvPicPr>
                        <pic:blipFill>
                          <a:blip r:embed="rId99"/>
                          <a:stretch>
                            <a:fillRect/>
                          </a:stretch>
                        </pic:blipFill>
                        <pic:spPr bwMode="auto">
                          <a:xfrm>
                            <a:off x="0" y="0"/>
                            <a:ext cx="4800600" cy="32558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102"/>
        </w:tc>
      </w:tr>
    </w:tbl>
    <w:bookmarkEnd w:id="103"/>
    <w:p>
      <w:pPr>
        <w:pStyle w:val="BodyText"/>
      </w:pPr>
      <w:r>
        <w:t xml:space="preserve">The Generalized Linear Model (GLM) analysis showed a significant effect of pixel resolution on the mapped vegetation area, indicating a positive relationship between resolution and area loss (</w:t>
      </w:r>
      <m:oMath>
        <m:r>
          <m:t>β</m:t>
        </m:r>
        <m:r>
          <m:rPr>
            <m:sty m:val="p"/>
          </m:rPr>
          <m:t>=</m:t>
        </m:r>
        <m:r>
          <m:t>0.067</m:t>
        </m:r>
        <m:r>
          <m:rPr>
            <m:sty m:val="p"/>
          </m:rPr>
          <m:t>,</m:t>
        </m:r>
        <m:r>
          <m:t>p</m:t>
        </m:r>
        <m:r>
          <m:rPr>
            <m:sty m:val="p"/>
          </m:rPr>
          <m:t>&lt;</m:t>
        </m:r>
        <m:r>
          <m:t>0.001</m:t>
        </m:r>
      </m:oMath>
      <w:r>
        <w:t xml:space="preserve">). This suggests that as pixel resolution increases, the mapped area of each vegetation type decreases.</w:t>
      </w:r>
    </w:p>
    <w:bookmarkEnd w:id="104"/>
    <w:bookmarkStart w:id="110" w:name="X7d8c98344fb9b0b2820ed333ea1419091199e0e"/>
    <w:p>
      <w:pPr>
        <w:pStyle w:val="Heading2"/>
      </w:pPr>
      <w:r>
        <w:t xml:space="preserve">3.6 Effect of the percent cover on the prediction</w:t>
      </w:r>
    </w:p>
    <w:p>
      <w:pPr>
        <w:pStyle w:val="FirstParagraph"/>
      </w:pPr>
      <w:r>
        <w:t xml:space="preserve">Using the very high resolution low altitude flight (8 mm pixels), we determined the minimal percent cover required to correctly classify a given class within the corresponding high altitude flight (8cm pixel resolution ;</w:t>
      </w:r>
      <w:r>
        <w:t xml:space="preserve"> </w:t>
      </w:r>
      <w:hyperlink w:anchor="fig-upscaling">
        <w:r>
          <w:rPr>
            <w:rStyle w:val="Hyperlink"/>
          </w:rPr>
          <w:t xml:space="preserve">Figure 12</w:t>
        </w:r>
      </w:hyperlink>
      <w:r>
        <w:t xml:space="preserve">).</w:t>
      </w:r>
    </w:p>
    <w:bookmarkStart w:id="109" w:name="cell-fig-upscaling"/>
    <w:tbl>
      <w:tblPr>
        <w:tblStyle w:val="Table"/>
        <w:tblW w:type="pct" w:w="5000"/>
        <w:tblLayout w:type="fixed"/>
        <w:tblLook w:firstRow="0" w:lastRow="0" w:firstColumn="0" w:lastColumn="0" w:noHBand="0" w:noVBand="0" w:val="0000"/>
      </w:tblPr>
      <w:tblGrid>
        <w:gridCol w:w="7920"/>
      </w:tblGrid>
      <w:tr>
        <w:tc>
          <w:tcPr/>
          <w:bookmarkStart w:id="108" w:name="fig-upscaling"/>
          <w:p>
            <w:pPr>
              <w:pStyle w:val="Compact"/>
              <w:jc w:val="center"/>
            </w:pPr>
            <w:r>
              <w:drawing>
                <wp:inline>
                  <wp:extent cx="4800600" cy="6443062"/>
                  <wp:effectExtent b="0" l="0" r="0" t="0"/>
                  <wp:docPr descr="" title="" id="106" name="Picture"/>
                  <a:graphic>
                    <a:graphicData uri="http://schemas.openxmlformats.org/drawingml/2006/picture">
                      <pic:pic>
                        <pic:nvPicPr>
                          <pic:cNvPr descr="Figures/Low_res/Upscaling/density_vs_Proportion.png" id="107" name="Picture"/>
                          <pic:cNvPicPr>
                            <a:picLocks noChangeArrowheads="1" noChangeAspect="1"/>
                          </pic:cNvPicPr>
                        </pic:nvPicPr>
                        <pic:blipFill>
                          <a:blip r:embed="rId105"/>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108"/>
        </w:tc>
      </w:tr>
    </w:tbl>
    <w:bookmarkEnd w:id="109"/>
    <w:p>
      <w:pPr>
        <w:pStyle w:val="BodyText"/>
      </w:pPr>
      <w:r>
        <w:t xml:space="preserve">A percent cover of at least 80% was sufficient to have all the pixels of high altitude flights correctly classified, with the exception of Magnoliopsida that required a higher cover (&gt;90 %) to be well classified. Concerning the probability of each class, there is a linear relationship between the percent cover and the confidence of the model to predict the class. To predict Chlorophyceae with a model likelihood of 0.85, a cover of 93 % was needed, 90 % for Magnoliopsida, 92 % for Rhodophyceae and 97 % for Bacillariophyceae.</w:t>
      </w:r>
      <w:r>
        <w:t xml:space="preserve"> </w:t>
      </w:r>
      <w:r>
        <w:t xml:space="preserve">When the vegetation cover of a given class was 100 %, coarser high-flight pixels were well classified for all the classes except for Bare Sediment, which was only well classified 80% of the time. This phenomenon may be attributed to the time gap between the two flights, allowing for microphytobenthos migration to the surface during low tide, consequently altering the model’s classification from bare sediment to Bacillariophyceae.</w:t>
      </w:r>
    </w:p>
    <w:bookmarkEnd w:id="110"/>
    <w:bookmarkEnd w:id="111"/>
    <w:bookmarkStart w:id="126" w:name="discussion"/>
    <w:p>
      <w:pPr>
        <w:pStyle w:val="Heading1"/>
      </w:pPr>
      <w:r>
        <w:t xml:space="preserve">4. Discussion</w:t>
      </w:r>
    </w:p>
    <w:bookmarkStart w:id="122" w:name="vegetation-discrimination"/>
    <w:p>
      <w:pPr>
        <w:pStyle w:val="Heading2"/>
      </w:pPr>
      <w:r>
        <w:t xml:space="preserve">4.1 Vegetation Discrimination</w:t>
      </w:r>
    </w:p>
    <w:p>
      <w:pPr>
        <w:pStyle w:val="FirstParagraph"/>
      </w:pPr>
      <w:r>
        <w:t xml:space="preserve">The primary objective of this study was to develop a method for the accurate classification of macrophytes at low tide on tidal flats, specifically focusing on distinguishing between Chlorophyceae (green macroalgae) and marine Magnoliopsida (seagrasses) using a multispectral resolution. The discrimination of seagrasses from green macroalgae presents is spectrally challenging</w:t>
      </w:r>
      <w:r>
        <w:t xml:space="preserve"> </w:t>
      </w:r>
      <w:r>
        <w:t xml:space="preserve">(Bannari et al., 2022; Oiry and Barillé, 2021; Veettil et al., 2020)</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bookmarkStart w:id="116" w:name="cell-fig-Pigm"/>
    <w:tbl>
      <w:tblPr>
        <w:tblStyle w:val="Table"/>
        <w:tblW w:type="pct" w:w="5000"/>
        <w:tblLayout w:type="fixed"/>
        <w:tblLook w:firstRow="0" w:lastRow="0" w:firstColumn="0" w:lastColumn="0" w:noHBand="0" w:noVBand="0" w:val="0000"/>
      </w:tblPr>
      <w:tblGrid>
        <w:gridCol w:w="7920"/>
      </w:tblGrid>
      <w:tr>
        <w:tc>
          <w:tcPr/>
          <w:bookmarkStart w:id="115" w:name="fig-Pigm"/>
          <w:p>
            <w:pPr>
              <w:pStyle w:val="Compact"/>
              <w:jc w:val="center"/>
            </w:pPr>
            <w:r>
              <w:drawing>
                <wp:inline>
                  <wp:extent cx="5334000" cy="2473274"/>
                  <wp:effectExtent b="0" l="0" r="0" t="0"/>
                  <wp:docPr descr="" title="" id="113" name="Picture"/>
                  <a:graphic>
                    <a:graphicData uri="http://schemas.openxmlformats.org/drawingml/2006/picture">
                      <pic:pic>
                        <pic:nvPicPr>
                          <pic:cNvPr descr="./Figures/Low_res/Disc_Pigment_Table.png" id="114" name="Picture"/>
                          <pic:cNvPicPr>
                            <a:picLocks noChangeArrowheads="1" noChangeAspect="1"/>
                          </pic:cNvPicPr>
                        </pic:nvPicPr>
                        <pic:blipFill>
                          <a:blip r:embed="rId112"/>
                          <a:stretch>
                            <a:fillRect/>
                          </a:stretch>
                        </pic:blipFill>
                        <pic:spPr bwMode="auto">
                          <a:xfrm>
                            <a:off x="0" y="0"/>
                            <a:ext cx="5334000" cy="24732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p>
          <w:bookmarkEnd w:id="115"/>
        </w:tc>
      </w:tr>
    </w:tbl>
    <w:bookmarkEnd w:id="116"/>
    <w:bookmarkStart w:id="121" w:name="cell-fig-ValidationGreen"/>
    <w:tbl>
      <w:tblPr>
        <w:tblStyle w:val="Table"/>
        <w:tblW w:type="pct" w:w="5000"/>
        <w:tblLayout w:type="fixed"/>
        <w:tblLook w:firstRow="0" w:lastRow="0" w:firstColumn="0" w:lastColumn="0" w:noHBand="0" w:noVBand="0" w:val="0000"/>
      </w:tblPr>
      <w:tblGrid>
        <w:gridCol w:w="7920"/>
      </w:tblGrid>
      <w:tr>
        <w:tc>
          <w:tcPr/>
          <w:bookmarkStart w:id="120" w:name="fig-ValidationGreen"/>
          <w:p>
            <w:pPr>
              <w:pStyle w:val="Compact"/>
              <w:jc w:val="center"/>
            </w:pPr>
            <w:r>
              <w:drawing>
                <wp:inline>
                  <wp:extent cx="2709559" cy="1932778"/>
                  <wp:effectExtent b="0" l="0" r="0" t="0"/>
                  <wp:docPr descr="" title="" id="118" name="Picture"/>
                  <a:graphic>
                    <a:graphicData uri="http://schemas.openxmlformats.org/drawingml/2006/picture">
                      <pic:pic>
                        <pic:nvPicPr>
                          <pic:cNvPr descr="./Figures/Low_res/Validation/ConfusionMatrixGreen.png" id="119" name="Picture"/>
                          <pic:cNvPicPr>
                            <a:picLocks noChangeArrowheads="1" noChangeAspect="1"/>
                          </pic:cNvPicPr>
                        </pic:nvPicPr>
                        <pic:blipFill>
                          <a:blip r:embed="rId117"/>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Sample of</w:t>
            </w:r>
            <w:r>
              <w:t xml:space="preserve"> </w:t>
            </w:r>
            <w:hyperlink w:anchor="fig-Validation">
              <w:r>
                <w:rPr>
                  <w:rStyle w:val="Hyperlink"/>
                </w:rPr>
                <w:t xml:space="preserve">Figure 9</w:t>
              </w:r>
            </w:hyperlink>
            <w:r>
              <w:t xml:space="preserve"> </w:t>
            </w:r>
            <w:r>
              <w:t xml:space="preserve">focusing on green macrophytes. The labels inside the matrix indicate the number of pixels.</w:t>
            </w:r>
          </w:p>
          <w:bookmarkEnd w:id="120"/>
        </w:tc>
      </w:tr>
    </w:tbl>
    <w:bookmarkEnd w:id="121"/>
    <w:p>
      <w:pPr>
        <w:pStyle w:val="BodyText"/>
      </w:pPr>
      <w:r>
        <w:t xml:space="preserve">Meeting these two criteria, the Micasense RedEdge-MX DUAL camera used in this study, enabled the classifier to achieve 97% of accuracy between these two classes (</w:t>
      </w:r>
      <w:hyperlink w:anchor="fig-ValidationGreen">
        <w:r>
          <w:rPr>
            <w:rStyle w:val="Hyperlink"/>
          </w:rPr>
          <w:t xml:space="preserve">Figure 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carotenoids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t>
      </w:r>
      <w:r>
        <w:t xml:space="preserve">whereas the presence of fucoxanthin and zeaxanthin result in a low reflectance in the visible region (</w:t>
      </w:r>
      <w:hyperlink w:anchor="fig-Pigm">
        <w:r>
          <w:rPr>
            <w:rStyle w:val="Hyperlink"/>
          </w:rPr>
          <w:t xml:space="preserve">Figure 13</w:t>
        </w:r>
      </w:hyperlink>
      <w:r>
        <w:t xml:space="preserve"> </w:t>
      </w:r>
      <w:r>
        <w:t xml:space="preserve">;</w:t>
      </w:r>
      <w:r>
        <w:t xml:space="preserve"> </w:t>
      </w:r>
      <w:hyperlink w:anchor="fig-VIP">
        <w:r>
          <w:rPr>
            <w:rStyle w:val="Hyperlink"/>
          </w:rPr>
          <w:t xml:space="preserve">Figure 10</w:t>
        </w:r>
      </w:hyperlink>
      <w:r>
        <w:t xml:space="preserve">). These two key features have been identified by the Neural Network as the two principal predictors to accurately identify brown algae (</w:t>
      </w:r>
      <w:hyperlink w:anchor="fig-VIP">
        <w:r>
          <w:rPr>
            <w:rStyle w:val="Hyperlink"/>
          </w:rPr>
          <w:t xml:space="preserve">Figure 10</w:t>
        </w:r>
      </w:hyperlink>
      <w:r>
        <w:t xml:space="preserve">). Similarly, the presence of phycoerythrin and phycocyanin in Rhodophyceae contribute to the lowest reflectance among all classes in the spectral range from 560 to 615 nm (</w:t>
      </w:r>
      <w:hyperlink w:anchor="fig-VIP">
        <w:r>
          <w:rPr>
            <w:rStyle w:val="Hyperlink"/>
          </w:rPr>
          <w:t xml:space="preserve">Figure 10</w:t>
        </w:r>
      </w:hyperlink>
      <w:r>
        <w:t xml:space="preserve">). Indeed the band at 560 nm has been identified as important for identifying this class, likely due to phycoerythrin absorption at this wavelength. Regarding Bacillariophyceae, the variable importance analysis (</w:t>
      </w:r>
      <w:hyperlink w:anchor="fig-VIP">
        <w:r>
          <w:rPr>
            <w:rStyle w:val="Hyperlink"/>
          </w:rPr>
          <w:t xml:space="preserve">Figure 10</w:t>
        </w:r>
      </w:hyperlink>
      <w:r>
        <w:t xml:space="preserve">) indicated that 475 nm was the most important predictor for this class. Indeed, the reflectance at 475 nm was higher for Bacillariophyceae than for any other vegetation class (</w:t>
      </w:r>
      <w:hyperlink w:anchor="fig-vegetation">
        <w:r>
          <w:rPr>
            <w:rStyle w:val="Hyperlink"/>
          </w:rPr>
          <w:t xml:space="preserve">Figure 2</w:t>
        </w:r>
      </w:hyperlink>
      <w:r>
        <w:t xml:space="preserve">), very likely due to the low biomass (and associated concentration of blue-absorbing pigments) of these unicellular organisms compared to seagrass and macroalgae.</w:t>
      </w:r>
    </w:p>
    <w:bookmarkEnd w:id="122"/>
    <w:bookmarkStart w:id="123" w:name="X56bbf18dfbac1929b10d45740eeb232309054c0"/>
    <w:p>
      <w:pPr>
        <w:pStyle w:val="Heading2"/>
      </w:pPr>
      <w:r>
        <w:t xml:space="preserve">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w:t>
      </w:r>
      <w:r>
        <w:t xml:space="preserve"> </w:t>
      </w:r>
      <w:r>
        <w:t xml:space="preserve">While comparing the reflectance at two different altitudes (12 m and 120 m), a nearly one-to-one relationship was observed, with a Root Mean Square Error (RMSE) of 0.02 (</w:t>
      </w:r>
      <w:hyperlink w:anchor="fig-CompareRef">
        <w:r>
          <w:rPr>
            <w:rStyle w:val="Hyperlink"/>
          </w:rPr>
          <w:t xml:space="preserve">Figure 4</w:t>
        </w:r>
      </w:hyperlink>
      <w:r>
        <w:t xml:space="preserve">). This result indicates that the reflectance measured by remote sensing (RS) sensors is not significantly influenced by pixel size.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1</w:t>
        </w:r>
      </w:hyperlink>
      <w:r>
        <w:t xml:space="preserve">. This approach allowed us to eliminate the slight reflectance difference between the flights (</w:t>
      </w:r>
      <w:hyperlink w:anchor="fig-CompareRef">
        <w:r>
          <w:rPr>
            <w:rStyle w:val="Hyperlink"/>
          </w:rPr>
          <w:t xml:space="preserve">Figure 4</w:t>
        </w:r>
      </w:hyperlink>
      <w:r>
        <w:t xml:space="preserve"> </w:t>
      </w:r>
      <w:r>
        <w:t xml:space="preserve">B) and to focus on the shape of the spectra in the visible part of the electromagnetic spectra, where different pigmentation are associated to taxonomic diagnostic features. In contrast to subtidal seagrasses, which maintain a relatively constant biomass throughout the year, intertidal seagrasses, like the one studied in this work, exhibit strong seasonal phenology</w:t>
      </w:r>
      <w:r>
        <w:t xml:space="preserve"> </w:t>
      </w:r>
      <w:r>
        <w:t xml:space="preserve">(Davies et al., 2024a)</w:t>
      </w:r>
      <w:r>
        <w:t xml:space="preserve">. At some sites, they completely disappear during the winter and reach their peak above-ground biomass in the summer and early fall.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We found 90 % seagrass cover was necessary at an 8 cm resolution for confident prediction of its presence (</w:t>
      </w:r>
      <w:hyperlink w:anchor="fig-upscaling">
        <w:r>
          <w:rPr>
            <w:rStyle w:val="Hyperlink"/>
          </w:rPr>
          <w:t xml:space="preserve">Figure 12</w:t>
        </w:r>
      </w:hyperlink>
      <w:r>
        <w:t xml:space="preserve">). However, due to the strong phenology of intertidal seagrass meadows in Europe, the period when a meadow is well-established can be temporally restricted, limiting the ideal window for accurate detection.</w:t>
      </w:r>
    </w:p>
    <w:bookmarkEnd w:id="123"/>
    <w:bookmarkStart w:id="124" w:name="X8ee0ba22c6fafee2c4fdf3a7dcdce5bc64eb5f3"/>
    <w:p>
      <w:pPr>
        <w:pStyle w:val="Heading2"/>
      </w:pPr>
      <w:r>
        <w:t xml:space="preserve">4.3 Impact of Pixel Resolution on the prediction and Implications for Satellite Remote Sensing</w:t>
      </w:r>
    </w:p>
    <w:p>
      <w:pPr>
        <w:pStyle w:val="FirstParagraph"/>
      </w:pPr>
      <w:r>
        <w:t xml:space="preserve">The results of</w:t>
      </w:r>
      <w:r>
        <w:t xml:space="preserve"> </w:t>
      </w:r>
      <w:hyperlink w:anchor="fig-pixelsize">
        <w:r>
          <w:rPr>
            <w:rStyle w:val="Hyperlink"/>
          </w:rPr>
          <w:t xml:space="preserve">Figure 11</w:t>
        </w:r>
      </w:hyperlink>
      <w:r>
        <w:t xml:space="preserve"> </w:t>
      </w:r>
      <w:r>
        <w:t xml:space="preserve">emphasize the critical role of pixel resolution in accurately retrieving vegetation area from remote sensing data. As pixel size increases, a consistent decline in area retrieval is observed across all vegetation types, with more pronounced effects for certain types, such as green algae. This highlights the sensitivity of spatial resolution in detecting smaller or more fragmented vegetation features. Green algae, being particularly patchy across all study sites, shows the steepest decline in area agreement as pixel size increases, which aligns with expectations given the limitations of coarser resolution in capturing fine-scale details.</w:t>
      </w:r>
    </w:p>
    <w:p>
      <w:pPr>
        <w:pStyle w:val="BodyText"/>
      </w:pPr>
      <w:r>
        <w:t xml:space="preserve">This resolution-area relationship has important implications for satellite platforms like Sentinel-2 and Landsat, which are commonly used in marine and coastal vegetation studies. Both satellites offer medium-resolution imagery, with pixel sizes of 10m and 30m, respectively. While these resolutions are suitable for broad-scale environmental monitoring, they may struggle to capture finer-scale heterogeneity, particularly in fragmented vegetation like green algae. The findings suggest that, while coarser resolutions like those of Landsat may be adequate for more homogeneous types, such as seagrass, higher resolutions are essential for accurately mapping patchier species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early stages of green tides could be challenging to monitor at coarse resolutions.</w:t>
      </w:r>
    </w:p>
    <w:p>
      <w:pPr>
        <w:pStyle w:val="BodyText"/>
      </w:pPr>
      <w:r>
        <w:t xml:space="preserve">Higher-resolution imagery offers more accurate vegetation mapping but comes with trade-offs. As resolution increases, data costs rise, and processing becomes more resource-intensive due to the larger file sizes and computational demands. Additionally, high-resolution data requires more storage and can slow down real-time applications. For large-scale monitoring or homogeneous vegetation types, medium-resolution platforms like Sentinel-2 are often sufficient. However, when mapping fragmented vegetation like green algae, the precision provided by higher-resolution imagery is crucial, despite the additional costs and processing challenges it imposes.</w:t>
      </w:r>
    </w:p>
    <w:bookmarkEnd w:id="124"/>
    <w:bookmarkStart w:id="125" w:name="X358d9a53b4ed72181dfc2d93c4ce60c8d17bbcb"/>
    <w:p>
      <w:pPr>
        <w:pStyle w:val="Heading2"/>
      </w:pPr>
      <w:r>
        <w:t xml:space="preserve">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conservation of biodiversity to climate change adaptation strategies.</w:t>
      </w:r>
    </w:p>
    <w:p>
      <w:pPr>
        <w:pStyle w:val="BodyText"/>
      </w:pPr>
      <w:r>
        <w:t xml:space="preserve">Because of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(i.e. bloom of green macroalgae of the genus</w:t>
      </w:r>
      <w:r>
        <w:t xml:space="preserve"> </w:t>
      </w:r>
      <w:r>
        <w:rPr>
          <w:i/>
          <w:iCs/>
        </w:rPr>
        <w:t xml:space="preserve">Ulva</w:t>
      </w:r>
      <w:r>
        <w:t xml:space="preserve">) were reported in Brittany, France, back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scale-up when applied alone. Earth Observation can bridge this gap and meet the needs for systematic monitoring coastal ecosystems over large areas</w:t>
      </w:r>
      <w:r>
        <w:t xml:space="preserve"> </w:t>
      </w:r>
      <w:r>
        <w:t xml:space="preserve">(Papathanasopoulou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w:t>
      </w:r>
      <w:r>
        <w:t xml:space="preserve">good ecological status</w:t>
      </w:r>
      <w:r>
        <w:t xml:space="preserve">”</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spatial-resolution provide a novel and powerful tool to rapidly and accurately acquire ground truth data which can be used to develop machine-learning algorithm for satellite sensors</w:t>
      </w:r>
      <w:r>
        <w:t xml:space="preserve"> </w:t>
      </w:r>
      <w:r>
        <w:t xml:space="preserve">(Davies et al., 2024b)</w:t>
      </w:r>
      <w:r>
        <w:t xml:space="preserve">. Spatially resolved data are indeed critical for calibrating and validating satellite remote sensing observations, thereby enhancing our capacity to monitor vast coastal areas. A perspective of this work could be to develop a similar classifier for satellite images (e.g. Sentinel-2), and test whether the discrimination between seagrass and green macroalgae is still operational at a coarser spatial resolution. The integration of drone technology facilitates a scalable approach to environmental surveillance while taking into account patchiness of secondary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125"/>
    <w:bookmarkEnd w:id="126"/>
    <w:bookmarkStart w:id="226" w:name="conclusion"/>
    <w:p>
      <w:pPr>
        <w:pStyle w:val="Heading1"/>
      </w:pPr>
      <w:r>
        <w:t xml:space="preserve">5. Conclusion</w:t>
      </w:r>
    </w:p>
    <w:p>
      <w:pPr>
        <w:pStyle w:val="FirstParagraph"/>
      </w:pPr>
      <w:r>
        <w:t xml:space="preserve">The utilization of very high spatial-resolution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for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MX are very similar to those of Sentinel-2, we suggest that multispectral satellite data have the potential to perform this discrimination between green these macrophytes. A Sentinel-2 algorithm could be developed, using the output of this current workflow as training and validation data. The findings underscore the importance of adopting advanced remote sensing tools in ecological studies and environmental monitoring, providing a foundation for future research and policy implementation aimed at ecosystem conservation and restoration.</w:t>
      </w:r>
    </w:p>
    <w:bookmarkStart w:id="225" w:name="refs"/>
    <w:bookmarkStart w:id="127" w:name="ref-adade2021"/>
    <w:p>
      <w:pPr>
        <w:pStyle w:val="Bibliography"/>
      </w:pPr>
      <w:r>
        <w:t xml:space="preserve">Adade, R., Aibinu, A.M., Ekumah, B., Asaana, J., 2021. Unmanned aerial vehicle (UAV) applications in coastal zone management—a review. Environmental Monitoring and Assessment 193, 1–12.</w:t>
      </w:r>
    </w:p>
    <w:bookmarkEnd w:id="127"/>
    <w:bookmarkStart w:id="129" w:name="ref-agisoft"/>
    <w:p>
      <w:pPr>
        <w:pStyle w:val="Bibliography"/>
      </w:pPr>
      <w:r>
        <w:t xml:space="preserve">Agisoft, 2019.</w:t>
      </w:r>
      <w:r>
        <w:t xml:space="preserve"> </w:t>
      </w:r>
      <w:hyperlink r:id="rId128">
        <w:r>
          <w:rPr>
            <w:rStyle w:val="Hyperlink"/>
          </w:rPr>
          <w:t xml:space="preserve">Agisoft metashape</w:t>
        </w:r>
      </w:hyperlink>
      <w:r>
        <w:t xml:space="preserve">.</w:t>
      </w:r>
    </w:p>
    <w:bookmarkEnd w:id="129"/>
    <w:bookmarkStart w:id="13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30"/>
    <w:bookmarkStart w:id="13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31"/>
    <w:bookmarkStart w:id="132"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32"/>
    <w:bookmarkStart w:id="133" w:name="ref-beach1997vivo"/>
    <w:p>
      <w:pPr>
        <w:pStyle w:val="Bibliography"/>
      </w:pPr>
      <w:r>
        <w:t xml:space="preserve">Beach, K., Borgeas, H., Nishimura, N., Smith, C., 1997. In vivo absorbance spectra and the ecophysiology of reef macroalgae. Coral Reefs 16, 21–28.</w:t>
      </w:r>
    </w:p>
    <w:bookmarkEnd w:id="133"/>
    <w:bookmarkStart w:id="135"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34">
        <w:r>
          <w:rPr>
            <w:rStyle w:val="Hyperlink"/>
          </w:rPr>
          <w:t xml:space="preserve">https://doi.org/10.3390/RS14020307</w:t>
        </w:r>
      </w:hyperlink>
    </w:p>
    <w:bookmarkEnd w:id="135"/>
    <w:bookmarkStart w:id="13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36">
        <w:r>
          <w:rPr>
            <w:rStyle w:val="Hyperlink"/>
          </w:rPr>
          <w:t xml:space="preserve">https://doi.org/10.1139/cjfas-2016-0137</w:t>
        </w:r>
      </w:hyperlink>
    </w:p>
    <w:bookmarkEnd w:id="137"/>
    <w:bookmarkStart w:id="138" w:name="ref-casella2020"/>
    <w:p>
      <w:pPr>
        <w:pStyle w:val="Bibliography"/>
      </w:pPr>
      <w:r>
        <w:t xml:space="preserve">Casella, E., Drechsel, J., Winter, C., Benninghoff, M., Rovere, A., 2020. Accuracy of sand beach topography surveying by drones and photogrammetry. Geo-Marine Letters 40, 255–268.</w:t>
      </w:r>
    </w:p>
    <w:bookmarkEnd w:id="138"/>
    <w:bookmarkStart w:id="139"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139"/>
    <w:bookmarkStart w:id="140" w:name="ref-chefaoui2018dramatic"/>
    <w:p>
      <w:pPr>
        <w:pStyle w:val="Bibliography"/>
      </w:pPr>
      <w:r>
        <w:t xml:space="preserve">Chefaoui, R.M., Duarte, C.M., Serrão, E.A., 2018. Dramatic loss of seagrass habitat under projected climate change in the mediterranean sea. Global change biology 24, 4919–4928.</w:t>
      </w:r>
    </w:p>
    <w:bookmarkEnd w:id="140"/>
    <w:bookmarkStart w:id="14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41"/>
    <w:bookmarkStart w:id="142" w:name="ref-collin2019improving"/>
    <w:p>
      <w:pPr>
        <w:pStyle w:val="Bibliography"/>
      </w:pPr>
      <w:r>
        <w:t xml:space="preserve">Collin, A., Dubois, S., James, D., Houet, T., 2019. Improving intertidal reef mapping using UAV surface, red edge, and near-infrared data. Drones 3, 67.</w:t>
      </w:r>
    </w:p>
    <w:bookmarkEnd w:id="142"/>
    <w:bookmarkStart w:id="14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43">
        <w:r>
          <w:rPr>
            <w:rStyle w:val="Hyperlink"/>
          </w:rPr>
          <w:t xml:space="preserve">https://doi.org/10.1016/j.ecolind.2020.107018</w:t>
        </w:r>
      </w:hyperlink>
    </w:p>
    <w:bookmarkEnd w:id="144"/>
    <w:bookmarkStart w:id="146"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45">
        <w:r>
          <w:rPr>
            <w:rStyle w:val="Hyperlink"/>
          </w:rPr>
          <w:t xml:space="preserve">https://doi.org/10.1016/j.rse.2023.113554</w:t>
        </w:r>
      </w:hyperlink>
    </w:p>
    <w:bookmarkEnd w:id="146"/>
    <w:bookmarkStart w:id="147" w:name="ref-davies2024sentinel"/>
    <w:p>
      <w:pPr>
        <w:pStyle w:val="Bibliography"/>
      </w:pPr>
      <w:r>
        <w:t xml:space="preserve">Davies, B.F.R., Oiry, S., Rosa, P., Zoffoli, M.L., Sousa, A.I., Thomas, O.R., Smale, D.A., Austen, M.C., Biermann, L., Attrill, M.J., others, 2024a. A sentinel watching over inter-tidal seagrass phenology across western europe and north africa. Communications Earth &amp; Environment 5, 382.</w:t>
      </w:r>
    </w:p>
    <w:bookmarkEnd w:id="147"/>
    <w:bookmarkStart w:id="148" w:name="ref-davies2024intertidal"/>
    <w:p>
      <w:pPr>
        <w:pStyle w:val="Bibliography"/>
      </w:pPr>
      <w:r>
        <w:t xml:space="preserve">Davies, B.F.R., Oiry, S., Rosa, P., Zoffoli, M.L., Sousa, A.I., Thomas, O.R., Smale, D.A., Austen, M.C., Biermann, L., Attrill, M.J., others, 2024b. Intertidal seagrass extent from sentinel-2 time-series show distinct trajectories in western europe. Remote Sensing of Environment 312, 114340.</w:t>
      </w:r>
    </w:p>
    <w:bookmarkEnd w:id="148"/>
    <w:bookmarkStart w:id="150" w:name="ref-BedeGbif"/>
    <w:p>
      <w:pPr>
        <w:pStyle w:val="Bibliography"/>
      </w:pPr>
      <w:r>
        <w:t xml:space="preserve">Davies, B.F.R., Sousa, A.I., Figueira, R., Oiry, S., Gernez, P., Barillé, L., 2023b. Benthic intertidal vegetation from the tagus estuary and aveiro lagoon.</w:t>
      </w:r>
      <w:r>
        <w:t xml:space="preserve"> </w:t>
      </w:r>
      <w:hyperlink r:id="rId149">
        <w:r>
          <w:rPr>
            <w:rStyle w:val="Hyperlink"/>
          </w:rPr>
          <w:t xml:space="preserve">https://doi.org/10.15468/n4ak6x</w:t>
        </w:r>
      </w:hyperlink>
    </w:p>
    <w:bookmarkEnd w:id="150"/>
    <w:bookmarkStart w:id="151" w:name="ref-devlin2023nutrients"/>
    <w:p>
      <w:pPr>
        <w:pStyle w:val="Bibliography"/>
      </w:pPr>
      <w:r>
        <w:t xml:space="preserve">Devlin, M., Brodie, J., 2023. Nutrients and eutrophication, in: Marine Pollution–Monitoring, Management and Mitigation. Springer, pp. 75–100.</w:t>
      </w:r>
    </w:p>
    <w:bookmarkEnd w:id="151"/>
    <w:bookmarkStart w:id="153" w:name="ref-Douay2022"/>
    <w:p>
      <w:pPr>
        <w:pStyle w:val="Bibliography"/>
      </w:pPr>
      <w:r>
        <w:t xml:space="preserve">Douay, F., Verpoorter, C., Duong, G., Spilmont, N., Gevaert, F., 2022. New hyperspectral procedure to discriminate intertidal macroalgae. Remote Sensing 14.</w:t>
      </w:r>
      <w:r>
        <w:t xml:space="preserve"> </w:t>
      </w:r>
      <w:hyperlink r:id="rId152">
        <w:r>
          <w:rPr>
            <w:rStyle w:val="Hyperlink"/>
          </w:rPr>
          <w:t xml:space="preserve">https://doi.org/10.3390/rs14020346</w:t>
        </w:r>
      </w:hyperlink>
    </w:p>
    <w:bookmarkEnd w:id="153"/>
    <w:bookmarkStart w:id="154"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54"/>
    <w:bookmarkStart w:id="155"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155"/>
    <w:bookmarkStart w:id="15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56"/>
    <w:bookmarkStart w:id="157" w:name="ref-foden2007angiosperms"/>
    <w:p>
      <w:pPr>
        <w:pStyle w:val="Bibliography"/>
      </w:pPr>
      <w:r>
        <w:t xml:space="preserve">Foden, J., Brazier, D., 2007. Angiosperms (seagrass) within the EU water framework directive: A UK perspective. Marine Pollution Bulletin 55, 181–195.</w:t>
      </w:r>
    </w:p>
    <w:bookmarkEnd w:id="157"/>
    <w:bookmarkStart w:id="158" w:name="ref-fyfe2003spatial"/>
    <w:p>
      <w:pPr>
        <w:pStyle w:val="Bibliography"/>
      </w:pPr>
      <w:r>
        <w:t xml:space="preserve">Fyfe, S., 2003. Spatial and temporal variation in spectral reflectance: Are seagrass species spectrally distinct? Limnology and Oceanography 48, 464–479.</w:t>
      </w:r>
    </w:p>
    <w:bookmarkEnd w:id="158"/>
    <w:bookmarkStart w:id="159" w:name="ref-gardner2018"/>
    <w:p>
      <w:pPr>
        <w:pStyle w:val="Bibliography"/>
      </w:pPr>
      <w:r>
        <w:t xml:space="preserve">Gardner, R.C., Finlayson, C., 2018. Global wetland outlook: State of the world’s wetlands and their services to people. Stetson Law.</w:t>
      </w:r>
    </w:p>
    <w:bookmarkEnd w:id="159"/>
    <w:bookmarkStart w:id="160" w:name="ref-haro2023biointertidal"/>
    <w:p>
      <w:pPr>
        <w:pStyle w:val="Bibliography"/>
      </w:pPr>
      <w:r>
        <w:t xml:space="preserve">Haro, S., Jimenez-Reina, J., Bermejo, R., Morrison, L., 2023. BioIntertidal mapper software: A satellite approach for NDVI-based intertidal habitat mapping. SoftwareX 24, 101520.</w:t>
      </w:r>
    </w:p>
    <w:bookmarkEnd w:id="160"/>
    <w:bookmarkStart w:id="161"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61"/>
    <w:bookmarkStart w:id="162"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62"/>
    <w:bookmarkStart w:id="163" w:name="ref-howard2018fastai"/>
    <w:p>
      <w:pPr>
        <w:pStyle w:val="Bibliography"/>
      </w:pPr>
      <w:r>
        <w:t xml:space="preserve">Howard, J., others, 2018. Fastai.</w:t>
      </w:r>
    </w:p>
    <w:bookmarkEnd w:id="163"/>
    <w:bookmarkStart w:id="16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64"/>
    <w:bookmarkStart w:id="165" w:name="ref-joyce2023"/>
    <w:p>
      <w:pPr>
        <w:pStyle w:val="Bibliography"/>
      </w:pPr>
      <w:r>
        <w:t xml:space="preserve">Joyce, K.E., Fickas, K.C., Kalamandeen, M., 2023. The unique value proposition for using drones to map coastal ecosystems. Cambridge Prisms: Coastal Futures 1, e6.</w:t>
      </w:r>
    </w:p>
    <w:bookmarkEnd w:id="165"/>
    <w:bookmarkStart w:id="166" w:name="ref-kirk1994light"/>
    <w:p>
      <w:pPr>
        <w:pStyle w:val="Bibliography"/>
      </w:pPr>
      <w:r>
        <w:t xml:space="preserve">Kirk, J.T., 1994. Light and photosynthesis in aquatic ecosystems. Cambridge university press.</w:t>
      </w:r>
    </w:p>
    <w:bookmarkEnd w:id="166"/>
    <w:bookmarkStart w:id="167" w:name="ref-klemas2012remote"/>
    <w:p>
      <w:pPr>
        <w:pStyle w:val="Bibliography"/>
      </w:pPr>
      <w:r>
        <w:t xml:space="preserve">Klemas, V., 2012. Remote sensing of algal blooms: An overview with case studies. Journal of coastal research 28, 34–43.</w:t>
      </w:r>
    </w:p>
    <w:bookmarkEnd w:id="167"/>
    <w:bookmarkStart w:id="168"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68"/>
    <w:bookmarkStart w:id="169"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69"/>
    <w:bookmarkStart w:id="170"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70"/>
    <w:bookmarkStart w:id="171" w:name="ref-louime2017sargassum"/>
    <w:p>
      <w:pPr>
        <w:pStyle w:val="Bibliography"/>
      </w:pPr>
      <w:r>
        <w:t xml:space="preserve">Louime, C., Fortune, J., Gervais, G., 2017. Sargassum invasion of coastal environments: A growing concern. American Journal of Environmental Sciences 13, 58–64.</w:t>
      </w:r>
    </w:p>
    <w:bookmarkEnd w:id="171"/>
    <w:bookmarkStart w:id="17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72"/>
    <w:bookmarkStart w:id="173"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173"/>
    <w:bookmarkStart w:id="17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74">
        <w:r>
          <w:rPr>
            <w:rStyle w:val="Hyperlink"/>
          </w:rPr>
          <w:t xml:space="preserve">https://doi.org/10.1111/GCB.14108</w:t>
        </w:r>
      </w:hyperlink>
    </w:p>
    <w:bookmarkEnd w:id="175"/>
    <w:bookmarkStart w:id="176"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76"/>
    <w:bookmarkStart w:id="177"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177"/>
    <w:bookmarkStart w:id="178" w:name="ref-nguyen2021"/>
    <w:p>
      <w:pPr>
        <w:pStyle w:val="Bibliography"/>
      </w:pPr>
      <w:r>
        <w:t xml:space="preserve">Nguyen, H.M., Ralph, P.J., Marı́n-Guirao, L., Pernice, M., Procaccini, G., 2021. Seagrasses in an era of ocean warming: A review. Biological Reviews 96, 2009–2030.</w:t>
      </w:r>
    </w:p>
    <w:bookmarkEnd w:id="178"/>
    <w:bookmarkStart w:id="17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79"/>
    <w:bookmarkStart w:id="18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180"/>
    <w:bookmarkStart w:id="181" w:name="ref-oh2017use"/>
    <w:p>
      <w:pPr>
        <w:pStyle w:val="Bibliography"/>
      </w:pPr>
      <w:r>
        <w:t xml:space="preserve">Oh, J., Kim, D., Lee, H., 2017. Use of a drone for mapping and time series image acquisition of tidal zones. Journal of the Korean Institute of Intelligent Systems 27, 119–125.</w:t>
      </w:r>
    </w:p>
    <w:bookmarkEnd w:id="181"/>
    <w:bookmarkStart w:id="182" w:name="ref-oiry2021using"/>
    <w:p>
      <w:pPr>
        <w:pStyle w:val="Bibliography"/>
      </w:pPr>
      <w:r>
        <w:t xml:space="preserve">Oiry, S., Barillé, L., 2021. Using sentinel-2 satellite imagery to develop microphytobenthos-based water quality indices in estuaries. Ecological Indicators 121, 107184.</w:t>
      </w:r>
    </w:p>
    <w:bookmarkEnd w:id="182"/>
    <w:bookmarkStart w:id="183"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83"/>
    <w:bookmarkStart w:id="184"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84"/>
    <w:bookmarkStart w:id="185" w:name="ref-Pereira2013"/>
    <w:p>
      <w:pPr>
        <w:pStyle w:val="Bibliography"/>
      </w:pPr>
      <w:r>
        <w:t xml:space="preserve">Pereira, H.M., Ferrier, S., Walters, M., Geller, G.N., Jongman, R.H., Scholes, R.J., Bruford, M.W., Brummitt, N., Butchart, S.H., Cardoso, A., others, 2013. Essential biodiversity variables. Science 339, 277–278.</w:t>
      </w:r>
    </w:p>
    <w:bookmarkEnd w:id="185"/>
    <w:bookmarkStart w:id="18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86"/>
    <w:bookmarkStart w:id="187"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87"/>
    <w:bookmarkStart w:id="188" w:name="ref-rasheed2011long"/>
    <w:p>
      <w:pPr>
        <w:pStyle w:val="Bibliography"/>
      </w:pPr>
      <w:r>
        <w:t xml:space="preserve">Rasheed, M.A., Unsworth, R.K., 2011. Long-term climate-associated dynamics of a tropical seagrass meadow: Implications for the future. Marine Ecology Progress Series 422, 93–103.</w:t>
      </w:r>
    </w:p>
    <w:bookmarkEnd w:id="188"/>
    <w:bookmarkStart w:id="18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89"/>
    <w:bookmarkStart w:id="19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90"/>
    <w:bookmarkStart w:id="19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91">
        <w:r>
          <w:rPr>
            <w:rStyle w:val="Hyperlink"/>
          </w:rPr>
          <w:t xml:space="preserve">https://doi.org/10.3389/fmars.2022.1004012</w:t>
        </w:r>
      </w:hyperlink>
    </w:p>
    <w:bookmarkEnd w:id="192"/>
    <w:bookmarkStart w:id="193" w:name="ref-Roman2021"/>
    <w:p>
      <w:pPr>
        <w:pStyle w:val="Bibliography"/>
      </w:pPr>
      <w:r>
        <w:t xml:space="preserve">Román, A., Tovar-Sánchez, A., Olivé, I., Navarro, G., 2021. Using a UAV-mounted multispectral camera for the monitoring of marine macrophytes. Frontiers in Marine Science 1225.</w:t>
      </w:r>
    </w:p>
    <w:bookmarkEnd w:id="193"/>
    <w:bookmarkStart w:id="194" w:name="ref-rossiter2020uav"/>
    <w:p>
      <w:pPr>
        <w:pStyle w:val="Bibliography"/>
      </w:pPr>
      <w:r>
        <w:t xml:space="preserve">Rossiter, T., Furey, T., McCarthy, T., Stengel, D.B., 2020. UAV-mounted hyperspectral mapping of intertidal macroalgae. Estuarine, Coastal and Shelf Science 242, 106789.</w:t>
      </w:r>
    </w:p>
    <w:bookmarkEnd w:id="194"/>
    <w:bookmarkStart w:id="196"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95">
        <w:r>
          <w:rPr>
            <w:rStyle w:val="Hyperlink"/>
          </w:rPr>
          <w:t xml:space="preserve">https://doi.org/10.1016/j.ecoser.2022.101414</w:t>
        </w:r>
      </w:hyperlink>
    </w:p>
    <w:bookmarkEnd w:id="196"/>
    <w:bookmarkStart w:id="197" w:name="ref-schneider2012nih"/>
    <w:p>
      <w:pPr>
        <w:pStyle w:val="Bibliography"/>
      </w:pPr>
      <w:r>
        <w:t xml:space="preserve">Schneider, C.A., Rasband, W.S., Eliceiri, K.W., 2012. NIH image to ImageJ: 25 years of image analysis. Nature methods 9, 671–675.</w:t>
      </w:r>
    </w:p>
    <w:bookmarkEnd w:id="197"/>
    <w:bookmarkStart w:id="199" w:name="ref-rs13081408"/>
    <w:p>
      <w:pPr>
        <w:pStyle w:val="Bibliography"/>
      </w:pPr>
      <w:r>
        <w:t xml:space="preserve">Schreyers, L., Emmerik, T. van, Biermann, L., Le Lay, Y.-F., 2021. Spotting green tides over brittany from space: Three decades of monitoring with landsat imagery. Remote Sensing 13.</w:t>
      </w:r>
      <w:r>
        <w:t xml:space="preserve"> </w:t>
      </w:r>
      <w:hyperlink r:id="rId198">
        <w:r>
          <w:rPr>
            <w:rStyle w:val="Hyperlink"/>
          </w:rPr>
          <w:t xml:space="preserve">https://doi.org/10.3390/rs13081408</w:t>
        </w:r>
      </w:hyperlink>
    </w:p>
    <w:bookmarkEnd w:id="199"/>
    <w:bookmarkStart w:id="201" w:name="ref-Slaton2001"/>
    <w:p>
      <w:pPr>
        <w:pStyle w:val="Bibliography"/>
      </w:pPr>
      <w:r>
        <w:t xml:space="preserve">Slaton, M.R., Raymond Hunt Jr., E., Smith, W.K., 2001. Estimating near-infrared leaf reflectance from leaf structural characteristics. American Journal of Botany 88, 278–284. https://doi.org/</w:t>
      </w:r>
      <w:hyperlink r:id="rId200">
        <w:r>
          <w:rPr>
            <w:rStyle w:val="Hyperlink"/>
          </w:rPr>
          <w:t xml:space="preserve">https://doi.org/10.2307/2657019</w:t>
        </w:r>
      </w:hyperlink>
    </w:p>
    <w:bookmarkEnd w:id="201"/>
    <w:bookmarkStart w:id="202"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202"/>
    <w:bookmarkStart w:id="203"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203"/>
    <w:bookmarkStart w:id="204"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204"/>
    <w:bookmarkStart w:id="205"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205"/>
    <w:bookmarkStart w:id="20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206"/>
    <w:bookmarkStart w:id="208" w:name="ref-Traganos2018"/>
    <w:p>
      <w:pPr>
        <w:pStyle w:val="Bibliography"/>
      </w:pPr>
      <w:r>
        <w:t xml:space="preserve">Traganos, D., Reinartz, P., 2018. Mapping mediterranean seagrasses with sentinel-2 imagery. Marine Pollution Bulletin 134, 197–209.</w:t>
      </w:r>
      <w:r>
        <w:t xml:space="preserve"> </w:t>
      </w:r>
      <w:hyperlink r:id="rId207">
        <w:r>
          <w:rPr>
            <w:rStyle w:val="Hyperlink"/>
          </w:rPr>
          <w:t xml:space="preserve">https://doi.org/10.1016/j.marpolbul.2017.06.075</w:t>
        </w:r>
      </w:hyperlink>
    </w:p>
    <w:bookmarkEnd w:id="208"/>
    <w:bookmarkStart w:id="20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209"/>
    <w:bookmarkStart w:id="210" w:name="ref-unsworth2022"/>
    <w:p>
      <w:pPr>
        <w:pStyle w:val="Bibliography"/>
      </w:pPr>
      <w:r>
        <w:t xml:space="preserve">Unsworth, R.K., Cullen-Unsworth, L.C., Jones, B.L., Lilley, R.J., 2022. The planetary role of seagrass conservation. Science 377, 609–613.</w:t>
      </w:r>
    </w:p>
    <w:bookmarkEnd w:id="210"/>
    <w:bookmarkStart w:id="211" w:name="ref-veettil2020opportunities"/>
    <w:p>
      <w:pPr>
        <w:pStyle w:val="Bibliography"/>
      </w:pPr>
      <w:r>
        <w:t xml:space="preserve">Veettil, B.K., Ward, R.D., Lima, M.D.A.C., Stankovic, M., Hoai, P.N., Quang, N.X., 2020. Opportunities for seagrass research derived from remote sensing: A review of current methods. Ecological Indicators 117, 106560.</w:t>
      </w:r>
    </w:p>
    <w:bookmarkEnd w:id="211"/>
    <w:bookmarkStart w:id="212"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212"/>
    <w:bookmarkStart w:id="213"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213"/>
    <w:bookmarkStart w:id="214" w:name="ref-wang2022"/>
    <w:p>
      <w:pPr>
        <w:pStyle w:val="Bibliography"/>
      </w:pPr>
      <w:r>
        <w:t xml:space="preserve">Wang, Z., Fang, Z., Liang, J., Song, X., 2022. Assessment of global habitat suitability and risk of ocean green tides. Harmful Algae 119, 102324.</w:t>
      </w:r>
    </w:p>
    <w:bookmarkEnd w:id="214"/>
    <w:bookmarkStart w:id="216" w:name="ref-WEI2015399"/>
    <w:p>
      <w:pPr>
        <w:pStyle w:val="Bibliography"/>
      </w:pPr>
      <w:r>
        <w:t xml:space="preserve">Wei, P., Lu, Z., Song, J., 2015. Variable importance analysis: A comprehensive review. Reliability Engineering and System Safety 142, 399–432. https://doi.org/</w:t>
      </w:r>
      <w:hyperlink r:id="rId215">
        <w:r>
          <w:rPr>
            <w:rStyle w:val="Hyperlink"/>
          </w:rPr>
          <w:t xml:space="preserve">https://doi.org/10.1016/j.ress.2015.05.018</w:t>
        </w:r>
      </w:hyperlink>
    </w:p>
    <w:bookmarkEnd w:id="216"/>
    <w:bookmarkStart w:id="21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217"/>
    <w:bookmarkStart w:id="21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218"/>
    <w:bookmarkStart w:id="220"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219">
        <w:r>
          <w:rPr>
            <w:rStyle w:val="Hyperlink"/>
          </w:rPr>
          <w:t xml:space="preserve">https://doi.org/10.1016/j.ecolind.2021.108033</w:t>
        </w:r>
      </w:hyperlink>
    </w:p>
    <w:bookmarkEnd w:id="220"/>
    <w:bookmarkStart w:id="222"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21">
        <w:r>
          <w:rPr>
            <w:rStyle w:val="Hyperlink"/>
          </w:rPr>
          <w:t xml:space="preserve">https://doi.org/10.1002/rse2.319</w:t>
        </w:r>
      </w:hyperlink>
    </w:p>
    <w:bookmarkEnd w:id="222"/>
    <w:bookmarkStart w:id="224"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223">
        <w:r>
          <w:rPr>
            <w:rStyle w:val="Hyperlink"/>
          </w:rPr>
          <w:t xml:space="preserve">https://doi.org/10.1016/j.rse.2020.112020</w:t>
        </w:r>
      </w:hyperlink>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112" Target="media/rId112.png"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93" Target="media/rId93.png" /><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_rels/footnotes.xml.rels><?xml version="1.0" encoding="UTF-8"?><Relationships xmlns="http://schemas.openxmlformats.org/package/2006/relationships"><Relationship Type="http://schemas.openxmlformats.org/officeDocument/2006/relationships/hyperlink" Id="rId221" Target="https://doi.org/10.1002/rse2.319" TargetMode="External" /><Relationship Type="http://schemas.openxmlformats.org/officeDocument/2006/relationships/hyperlink" Id="rId143" Target="https://doi.org/10.1016/j.ecolind.2020.107018" TargetMode="External" /><Relationship Type="http://schemas.openxmlformats.org/officeDocument/2006/relationships/hyperlink" Id="rId219" Target="https://doi.org/10.1016/j.ecolind.2021.108033" TargetMode="External" /><Relationship Type="http://schemas.openxmlformats.org/officeDocument/2006/relationships/hyperlink" Id="rId195" Target="https://doi.org/10.1016/j.ecoser.2022.101414" TargetMode="External" /><Relationship Type="http://schemas.openxmlformats.org/officeDocument/2006/relationships/hyperlink" Id="rId207" Target="https://doi.org/10.1016/j.marpolbul.2017.06.075" TargetMode="External" /><Relationship Type="http://schemas.openxmlformats.org/officeDocument/2006/relationships/hyperlink" Id="rId215" Target="https://doi.org/10.1016/j.ress.2015.05.018" TargetMode="External" /><Relationship Type="http://schemas.openxmlformats.org/officeDocument/2006/relationships/hyperlink" Id="rId223" Target="https://doi.org/10.1016/j.rse.2020.112020" TargetMode="External" /><Relationship Type="http://schemas.openxmlformats.org/officeDocument/2006/relationships/hyperlink" Id="rId145" Target="https://doi.org/10.1016/j.rse.2023.113554" TargetMode="External" /><Relationship Type="http://schemas.openxmlformats.org/officeDocument/2006/relationships/hyperlink" Id="rId174" Target="https://doi.org/10.1111/GCB.14108" TargetMode="External" /><Relationship Type="http://schemas.openxmlformats.org/officeDocument/2006/relationships/hyperlink" Id="rId136" Target="https://doi.org/10.1139/cjfas-2016-0137" TargetMode="External" /><Relationship Type="http://schemas.openxmlformats.org/officeDocument/2006/relationships/hyperlink" Id="rId149" Target="https://doi.org/10.15468/n4ak6x" TargetMode="External" /><Relationship Type="http://schemas.openxmlformats.org/officeDocument/2006/relationships/hyperlink" Id="rId200" Target="https://doi.org/10.2307/2657019" TargetMode="External" /><Relationship Type="http://schemas.openxmlformats.org/officeDocument/2006/relationships/hyperlink" Id="rId191" Target="https://doi.org/10.3389/fmars.2022.1004012" TargetMode="External" /><Relationship Type="http://schemas.openxmlformats.org/officeDocument/2006/relationships/hyperlink" Id="rId134" Target="https://doi.org/10.3390/RS14020307" TargetMode="External" /><Relationship Type="http://schemas.openxmlformats.org/officeDocument/2006/relationships/hyperlink" Id="rId198" Target="https://doi.org/10.3390/rs13081408" TargetMode="External" /><Relationship Type="http://schemas.openxmlformats.org/officeDocument/2006/relationships/hyperlink" Id="rId152" Target="https://doi.org/10.3390/rs14020346" TargetMode="External" /><Relationship Type="http://schemas.openxmlformats.org/officeDocument/2006/relationships/hyperlink" Id="rId128" Target="https://www.agi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 Discriminating Seagrasses From Green Macroalgae in European Intertidal areas using high resolution multispectral drone imagery – Draft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2024-10-02T09:35:11Z</dcterms:created>
  <dcterms:modified xsi:type="dcterms:W3CDTF">2024-10-02T09:35:11Z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struggles with spatial and spectral resolution, making it difficult to discriminate seagrass from other macrophytes in highly heterogenous meadows. Drone (unmanned aerial vehicles – UAV) images at a very high spatial resolution offer a promising solution to address challenges related to spatial heterogeneity and intrapixel mixture. This study focuses on using drone acquisitions with a ten spectral band sensor mirroring those of Sentinel-2, for mapping intertidal macrophytes and effectively discriminating between seagrass and green macroalgae. Nine drone flights were conducted at two different altitudes (12 m and 120 m) across heterogeneous intertidal European habitats in France and Portugal. Low altitude flights were used to train a Deep Learning classifier based on Neural Networks to discrimintate among five taxonomic classes of intertidal vegetation: Magnoliopsida (Seagrass), Chlorophyceae (Green macroalgae), Phaeophyceae (Brown algae), Rhodophyceae (Red macroalgae) and benthic Bacillariophyceae (Diatoms). Classification of drone imagery resulted in an overall accuracy of 94% across all the sites and images, covering a total area of 467 000 m². The model exhibited an accuracy of 96.4% in identifying seagrass. Importantly, seagrass and green algae can be discriminated, although they share the same pigment composition. As the algorithm was developed for a multispectral camera with ten spectral bands in the visible and near-infrared, it could be adapted to the Multi-Spectral Instrument (MSI) onboard Sentinel-2 thus offering promising perspectives for satellite remote sensing of intertidal biodiversity over lager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2024-10-02</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